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01" w:rsidRDefault="00EA5B01" w:rsidP="00945858">
      <w:pPr>
        <w:pStyle w:val="ListParagraph"/>
        <w:ind w:left="0"/>
        <w:rPr>
          <w:rFonts w:asciiTheme="minorHAnsi" w:hAnsiTheme="minorHAnsi"/>
          <w:b/>
          <w:sz w:val="36"/>
          <w:szCs w:val="36"/>
        </w:rPr>
      </w:pPr>
    </w:p>
    <w:p w:rsidR="00945858" w:rsidRDefault="00945858" w:rsidP="00945858">
      <w:pPr>
        <w:pStyle w:val="ListParagraph"/>
        <w:ind w:left="0"/>
        <w:rPr>
          <w:rFonts w:asciiTheme="minorHAnsi" w:hAnsiTheme="minorHAnsi"/>
          <w:b/>
          <w:sz w:val="36"/>
          <w:szCs w:val="36"/>
        </w:rPr>
      </w:pPr>
      <w:r w:rsidRPr="00945858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1969840</wp:posOffset>
                </wp:positionH>
                <wp:positionV relativeFrom="paragraph">
                  <wp:posOffset>15283</wp:posOffset>
                </wp:positionV>
                <wp:extent cx="4706471" cy="59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471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858" w:rsidRPr="00820BF6" w:rsidRDefault="00945858" w:rsidP="00820BF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820BF6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NVCC Industry Sector Summits Report</w:t>
                            </w:r>
                          </w:p>
                          <w:p w:rsidR="00945858" w:rsidRPr="00945858" w:rsidRDefault="00945858" w:rsidP="0094585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4585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Office of the Dean of Academic Affairs</w:t>
                            </w:r>
                          </w:p>
                          <w:p w:rsidR="00945858" w:rsidRDefault="00945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1pt;margin-top:1.2pt;width:370.6pt;height: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mCIQIAAB0EAAAOAAAAZHJzL2Uyb0RvYy54bWysU9uO2yAQfa/Uf0C8N7ajXDZWnNU221SV&#10;tttKu/0AjHGMCgwFEjv9+g44m422b1V5QAwzHGbOnFnfDlqRo3BegqloMckpEYZDI82+oj+edx9u&#10;KPGBmYYpMKKiJ+Hp7eb9u3VvSzGFDlQjHEEQ48veVrQLwZZZ5nknNPMTsMKgswWnWUDT7bPGsR7R&#10;tcqmeb7IenCNdcCF93h7PzrpJuG3reDhW9t6EYiqKOYW0u7SXsc926xZuXfMdpKf02D/kIVm0uCn&#10;F6h7Fhg5OPkXlJbcgYc2TDjoDNpWcpFqwGqK/E01Tx2zItWC5Hh7ocn/P1j+ePzuiGwqOi2WlBim&#10;sUnPYgjkIwxkGvnprS8x7MliYBjwGvucavX2AfhPTwxsO2b24s456DvBGsyviC+zq6cjjo8gdf8V&#10;GvyGHQIkoKF1OpKHdBBExz6dLr2JqXC8nC3zxWxZUMLRN18tVnlqXsbKl9fW+fBZgCbxUFGHvU/o&#10;7PjgQ8yGlS8h8TMPSjY7qVQy3L7eKkeODHWySysV8CZMGdJXdDWfzhOygfg+SUjLgDpWUlf0Jo9r&#10;VFZk45NpUkhgUo1nzESZMz2RkZGbMNQDBkbOamhOSJSDUa84X3jowP2mpEetVtT/OjAnKFFfDJK9&#10;KmazKO5kzObLKRru2lNfe5jhCFXRQMl43IY0EJEHA3fYlFYmvl4zOeeKGkw0nuclivzaTlGvU735&#10;AwAA//8DAFBLAwQUAAYACAAAACEARuJBTN4AAAAJAQAADwAAAGRycy9kb3ducmV2LnhtbEyPwU7D&#10;MBBE70j8g7VIXBB1EtK0TbOpAAnEtaUfsIndJCJeR7HbpH+Pe4LbrGY087bYzaYXFz26zjJCvIhA&#10;aK6t6rhBOH5/PK9BOE+sqLesEa7awa68vysoV3bivb4cfCNCCbucEFrvh1xKV7fakFvYQXPwTnY0&#10;5MM5NlKNNIVy08skijJpqOOw0NKg31td/xzOBuH0NT0tN1P16Y+rfZq9Ubeq7BXx8WF+3YLwevZ/&#10;YbjhB3QoA1Nlz6yc6BFe4igJUYQkBXHzo2UcVIWwyVKQZSH/f1D+AgAA//8DAFBLAQItABQABgAI&#10;AAAAIQC2gziS/gAAAOEBAAATAAAAAAAAAAAAAAAAAAAAAABbQ29udGVudF9UeXBlc10ueG1sUEsB&#10;Ai0AFAAGAAgAAAAhADj9If/WAAAAlAEAAAsAAAAAAAAAAAAAAAAALwEAAF9yZWxzLy5yZWxzUEsB&#10;Ai0AFAAGAAgAAAAhABTDmYIhAgAAHQQAAA4AAAAAAAAAAAAAAAAALgIAAGRycy9lMm9Eb2MueG1s&#10;UEsBAi0AFAAGAAgAAAAhAEbiQUzeAAAACQEAAA8AAAAAAAAAAAAAAAAAewQAAGRycy9kb3ducmV2&#10;LnhtbFBLBQYAAAAABAAEAPMAAACGBQAAAAA=&#10;" stroked="f">
                <v:textbox>
                  <w:txbxContent>
                    <w:p w:rsidR="00945858" w:rsidRPr="00820BF6" w:rsidRDefault="00945858" w:rsidP="00820BF6">
                      <w:pPr>
                        <w:pStyle w:val="ListParagraph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820BF6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NVCC Industry Sector Summits Report</w:t>
                      </w:r>
                    </w:p>
                    <w:p w:rsidR="00945858" w:rsidRPr="00945858" w:rsidRDefault="00945858" w:rsidP="00945858">
                      <w:pPr>
                        <w:pStyle w:val="ListParagraph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94585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Office of the Dean of Academic Affairs</w:t>
                      </w:r>
                    </w:p>
                    <w:p w:rsidR="00945858" w:rsidRDefault="0094585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F16F12" wp14:editId="543EB711">
            <wp:extent cx="1716066" cy="701154"/>
            <wp:effectExtent l="0" t="0" r="0" b="3810"/>
            <wp:docPr id="1" name="Picture 1" descr="C:\Users\Waldemar\Documents\Logos\NVCC Logos\NVCC Logos\NVcc logo color no address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demar\Documents\Logos\NVCC Logos\NVCC Logos\NVcc logo color no address_s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78" cy="7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01" w:rsidRPr="00EA5B01" w:rsidRDefault="00EA5B01" w:rsidP="007B381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9823DC" w:rsidRDefault="009823DC" w:rsidP="007B3811">
      <w:pPr>
        <w:pStyle w:val="ListParagraph"/>
        <w:ind w:left="0"/>
        <w:rPr>
          <w:rFonts w:asciiTheme="minorHAnsi" w:hAnsiTheme="minorHAnsi"/>
          <w:b/>
          <w:bCs/>
        </w:rPr>
      </w:pPr>
    </w:p>
    <w:p w:rsidR="001E1D8B" w:rsidRDefault="00820BF6" w:rsidP="007B3811">
      <w:pPr>
        <w:pStyle w:val="ListParagraph"/>
        <w:ind w:left="0"/>
        <w:rPr>
          <w:rFonts w:asciiTheme="minorHAnsi" w:hAnsiTheme="minorHAnsi"/>
        </w:rPr>
      </w:pPr>
      <w:r w:rsidRPr="00820BF6">
        <w:rPr>
          <w:rFonts w:asciiTheme="minorHAnsi" w:hAnsiTheme="minorHAnsi"/>
          <w:b/>
          <w:bCs/>
        </w:rPr>
        <w:t>BACKGROUND</w:t>
      </w:r>
      <w:r>
        <w:rPr>
          <w:rFonts w:asciiTheme="minorHAnsi" w:hAnsiTheme="minorHAnsi"/>
          <w:bCs/>
        </w:rPr>
        <w:t xml:space="preserve"> Since 2014, in support of NVCC’s strategic planning, </w:t>
      </w:r>
      <w:r w:rsidR="008B2252" w:rsidRPr="007B3811">
        <w:rPr>
          <w:rFonts w:asciiTheme="minorHAnsi" w:hAnsiTheme="minorHAnsi"/>
          <w:bCs/>
        </w:rPr>
        <w:t xml:space="preserve">the Environmental Scanning Committee </w:t>
      </w:r>
      <w:r>
        <w:rPr>
          <w:rFonts w:asciiTheme="minorHAnsi" w:hAnsiTheme="minorHAnsi"/>
          <w:bCs/>
        </w:rPr>
        <w:t xml:space="preserve">of the Institutional Planning Council (IPC) has </w:t>
      </w:r>
      <w:r w:rsidR="008B2252" w:rsidRPr="007B3811">
        <w:rPr>
          <w:rFonts w:asciiTheme="minorHAnsi" w:hAnsiTheme="minorHAnsi"/>
          <w:bCs/>
        </w:rPr>
        <w:t>work</w:t>
      </w:r>
      <w:r>
        <w:rPr>
          <w:rFonts w:asciiTheme="minorHAnsi" w:hAnsiTheme="minorHAnsi"/>
          <w:bCs/>
        </w:rPr>
        <w:t>ed</w:t>
      </w:r>
      <w:r w:rsidR="008B2252" w:rsidRPr="007B3811">
        <w:rPr>
          <w:rFonts w:asciiTheme="minorHAnsi" w:hAnsiTheme="minorHAnsi"/>
          <w:bCs/>
        </w:rPr>
        <w:t xml:space="preserve"> with Academic Affairs to ask regional employers, </w:t>
      </w:r>
      <w:r w:rsidR="008B2252" w:rsidRPr="007B3811">
        <w:rPr>
          <w:rFonts w:asciiTheme="minorHAnsi" w:hAnsiTheme="minorHAnsi"/>
        </w:rPr>
        <w:t>“How can we</w:t>
      </w:r>
      <w:r w:rsidR="007B3811">
        <w:rPr>
          <w:rFonts w:asciiTheme="minorHAnsi" w:hAnsiTheme="minorHAnsi"/>
        </w:rPr>
        <w:t>,</w:t>
      </w:r>
      <w:r w:rsidR="008B2252" w:rsidRPr="007B3811">
        <w:rPr>
          <w:rFonts w:asciiTheme="minorHAnsi" w:hAnsiTheme="minorHAnsi"/>
        </w:rPr>
        <w:t xml:space="preserve"> as a community college</w:t>
      </w:r>
      <w:r w:rsidR="007B3811">
        <w:rPr>
          <w:rFonts w:asciiTheme="minorHAnsi" w:hAnsiTheme="minorHAnsi"/>
        </w:rPr>
        <w:t>,</w:t>
      </w:r>
      <w:r w:rsidR="008B2252" w:rsidRPr="007B3811">
        <w:rPr>
          <w:rFonts w:asciiTheme="minorHAnsi" w:hAnsiTheme="minorHAnsi"/>
        </w:rPr>
        <w:t xml:space="preserve"> help you build</w:t>
      </w:r>
      <w:r w:rsidR="007B3811">
        <w:rPr>
          <w:rFonts w:asciiTheme="minorHAnsi" w:hAnsiTheme="minorHAnsi"/>
        </w:rPr>
        <w:t xml:space="preserve"> or </w:t>
      </w:r>
      <w:r w:rsidR="008B2252" w:rsidRPr="007B3811">
        <w:rPr>
          <w:rFonts w:asciiTheme="minorHAnsi" w:hAnsiTheme="minorHAnsi"/>
        </w:rPr>
        <w:t>improve your workforce?”</w:t>
      </w:r>
      <w:r w:rsidR="007D1F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respond to the question</w:t>
      </w:r>
      <w:r w:rsidR="008B2252" w:rsidRPr="007B3811">
        <w:rPr>
          <w:rFonts w:asciiTheme="minorHAnsi" w:hAnsiTheme="minorHAnsi"/>
        </w:rPr>
        <w:t xml:space="preserve">, the </w:t>
      </w:r>
      <w:r w:rsidR="007D1F5B">
        <w:rPr>
          <w:rFonts w:asciiTheme="minorHAnsi" w:hAnsiTheme="minorHAnsi"/>
        </w:rPr>
        <w:t>IPC</w:t>
      </w:r>
      <w:r w:rsidR="008B2252" w:rsidRPr="007B3811">
        <w:rPr>
          <w:rFonts w:asciiTheme="minorHAnsi" w:hAnsiTheme="minorHAnsi"/>
        </w:rPr>
        <w:t xml:space="preserve"> organized a series of Industry Sector</w:t>
      </w:r>
      <w:r w:rsidR="007B3811">
        <w:rPr>
          <w:rFonts w:asciiTheme="minorHAnsi" w:hAnsiTheme="minorHAnsi"/>
        </w:rPr>
        <w:t xml:space="preserve"> Summits</w:t>
      </w:r>
      <w:r w:rsidR="008B2252" w:rsidRPr="007B3811">
        <w:rPr>
          <w:rFonts w:asciiTheme="minorHAnsi" w:hAnsiTheme="minorHAnsi"/>
        </w:rPr>
        <w:t xml:space="preserve"> to connect with </w:t>
      </w:r>
      <w:r w:rsidR="007D1F5B">
        <w:rPr>
          <w:rFonts w:asciiTheme="minorHAnsi" w:hAnsiTheme="minorHAnsi"/>
        </w:rPr>
        <w:t xml:space="preserve">Connecticut </w:t>
      </w:r>
      <w:r w:rsidR="008B2252" w:rsidRPr="007B3811">
        <w:rPr>
          <w:rFonts w:asciiTheme="minorHAnsi" w:hAnsiTheme="minorHAnsi"/>
        </w:rPr>
        <w:t xml:space="preserve">employers in </w:t>
      </w:r>
      <w:r w:rsidR="007B3811">
        <w:rPr>
          <w:rFonts w:asciiTheme="minorHAnsi" w:hAnsiTheme="minorHAnsi"/>
        </w:rPr>
        <w:t xml:space="preserve">seven </w:t>
      </w:r>
      <w:r>
        <w:rPr>
          <w:rFonts w:asciiTheme="minorHAnsi" w:hAnsiTheme="minorHAnsi"/>
        </w:rPr>
        <w:t xml:space="preserve">industry </w:t>
      </w:r>
      <w:r w:rsidR="008B2252" w:rsidRPr="007B3811">
        <w:rPr>
          <w:rFonts w:asciiTheme="minorHAnsi" w:hAnsiTheme="minorHAnsi"/>
        </w:rPr>
        <w:t xml:space="preserve">sectors </w:t>
      </w:r>
      <w:r w:rsidR="007B3811">
        <w:rPr>
          <w:rFonts w:asciiTheme="minorHAnsi" w:hAnsiTheme="minorHAnsi"/>
        </w:rPr>
        <w:t xml:space="preserve">as </w:t>
      </w:r>
      <w:r w:rsidR="008B2252" w:rsidRPr="007B3811">
        <w:rPr>
          <w:rFonts w:asciiTheme="minorHAnsi" w:hAnsiTheme="minorHAnsi"/>
        </w:rPr>
        <w:t xml:space="preserve">defined by the </w:t>
      </w:r>
      <w:r w:rsidR="00040E25">
        <w:rPr>
          <w:rFonts w:asciiTheme="minorHAnsi" w:hAnsiTheme="minorHAnsi"/>
        </w:rPr>
        <w:t>Connecticut State Colleges and Universities</w:t>
      </w:r>
      <w:r w:rsidR="00B84719">
        <w:rPr>
          <w:rFonts w:asciiTheme="minorHAnsi" w:hAnsiTheme="minorHAnsi"/>
        </w:rPr>
        <w:t xml:space="preserve"> </w:t>
      </w:r>
      <w:r w:rsidR="008B2252" w:rsidRPr="007B3811">
        <w:rPr>
          <w:rFonts w:asciiTheme="minorHAnsi" w:hAnsiTheme="minorHAnsi"/>
        </w:rPr>
        <w:t>Board of Regents</w:t>
      </w:r>
      <w:r w:rsidR="009E08CD">
        <w:rPr>
          <w:rFonts w:asciiTheme="minorHAnsi" w:hAnsiTheme="minorHAnsi"/>
        </w:rPr>
        <w:t>. All seven sectors were approved for Naugatuck Valley Community College in 2013.</w:t>
      </w:r>
      <w:r w:rsidR="008B2252" w:rsidRPr="007B3811">
        <w:rPr>
          <w:rFonts w:asciiTheme="minorHAnsi" w:hAnsiTheme="minorHAnsi"/>
        </w:rPr>
        <w:t xml:space="preserve">  These sectors are: Manufacturing, Information Technology, Bioscience, Energy, Financial Services, Allied Health, and Hospitality</w:t>
      </w:r>
      <w:r w:rsidR="007716EC" w:rsidRPr="007B3811">
        <w:rPr>
          <w:rFonts w:asciiTheme="minorHAnsi" w:hAnsiTheme="minorHAnsi"/>
        </w:rPr>
        <w:t>.</w:t>
      </w:r>
      <w:r w:rsidR="007716EC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S</w:t>
      </w:r>
      <w:r w:rsidR="009E08CD">
        <w:rPr>
          <w:rFonts w:asciiTheme="minorHAnsi" w:hAnsiTheme="minorHAnsi"/>
        </w:rPr>
        <w:t xml:space="preserve">ee </w:t>
      </w:r>
      <w:r>
        <w:rPr>
          <w:rFonts w:asciiTheme="minorHAnsi" w:hAnsiTheme="minorHAnsi"/>
        </w:rPr>
        <w:t>the</w:t>
      </w:r>
      <w:r w:rsidR="00B84719">
        <w:rPr>
          <w:rFonts w:asciiTheme="minorHAnsi" w:hAnsiTheme="minorHAnsi"/>
        </w:rPr>
        <w:t xml:space="preserve"> </w:t>
      </w:r>
      <w:r w:rsidR="00D51776">
        <w:rPr>
          <w:rFonts w:asciiTheme="minorHAnsi" w:hAnsiTheme="minorHAnsi"/>
        </w:rPr>
        <w:t xml:space="preserve">Industry </w:t>
      </w:r>
      <w:r w:rsidR="00E754F0">
        <w:rPr>
          <w:rFonts w:asciiTheme="minorHAnsi" w:hAnsiTheme="minorHAnsi"/>
        </w:rPr>
        <w:t>Sector</w:t>
      </w:r>
      <w:r w:rsidR="00B84719">
        <w:rPr>
          <w:rFonts w:asciiTheme="minorHAnsi" w:hAnsiTheme="minorHAnsi"/>
        </w:rPr>
        <w:t>s</w:t>
      </w:r>
      <w:r w:rsidR="00E754F0">
        <w:rPr>
          <w:rFonts w:asciiTheme="minorHAnsi" w:hAnsiTheme="minorHAnsi"/>
        </w:rPr>
        <w:t xml:space="preserve"> Map</w:t>
      </w:r>
      <w:r>
        <w:rPr>
          <w:rFonts w:asciiTheme="minorHAnsi" w:hAnsiTheme="minorHAnsi"/>
        </w:rPr>
        <w:t>.</w:t>
      </w:r>
      <w:r w:rsidR="00E754F0">
        <w:rPr>
          <w:rFonts w:asciiTheme="minorHAnsi" w:hAnsiTheme="minorHAnsi"/>
        </w:rPr>
        <w:t>)</w:t>
      </w:r>
    </w:p>
    <w:p w:rsidR="001E1D8B" w:rsidRDefault="003E7E16" w:rsidP="001E1D8B">
      <w:pPr>
        <w:autoSpaceDE w:val="0"/>
        <w:autoSpaceDN w:val="0"/>
        <w:adjustRightInd w:val="0"/>
        <w:rPr>
          <w:rFonts w:asciiTheme="minorHAnsi" w:hAnsiTheme="minorHAnsi" w:cs="MinionPro-Semibold"/>
        </w:rPr>
      </w:pPr>
      <w:r w:rsidRPr="003E7E16">
        <w:rPr>
          <w:rFonts w:asciiTheme="minorHAnsi" w:hAnsiTheme="minorHAnsi"/>
          <w:b/>
        </w:rPr>
        <w:t xml:space="preserve">OBJECTIVES </w:t>
      </w:r>
      <w:r w:rsidR="001E1D8B">
        <w:rPr>
          <w:rFonts w:asciiTheme="minorHAnsi" w:hAnsiTheme="minorHAnsi"/>
        </w:rPr>
        <w:t>T</w:t>
      </w:r>
      <w:r w:rsidR="001E1D8B">
        <w:rPr>
          <w:rFonts w:asciiTheme="minorHAnsi" w:hAnsiTheme="minorHAnsi" w:cs="MinionPro-Semibold"/>
        </w:rPr>
        <w:t xml:space="preserve">he Industry Sector Summit initiative has two objectives. First, through partnering with industry, </w:t>
      </w:r>
      <w:r w:rsidR="00EA5B01">
        <w:rPr>
          <w:rFonts w:asciiTheme="minorHAnsi" w:hAnsiTheme="minorHAnsi" w:cs="MinionPro-Semibold"/>
        </w:rPr>
        <w:t xml:space="preserve">NVCC </w:t>
      </w:r>
      <w:r w:rsidR="001E1D8B">
        <w:rPr>
          <w:rFonts w:asciiTheme="minorHAnsi" w:hAnsiTheme="minorHAnsi" w:cs="MinionPro-Semibold"/>
        </w:rPr>
        <w:t xml:space="preserve">gains greater relevancy for curriculum in degree programs which </w:t>
      </w:r>
      <w:r w:rsidR="00EA5B01">
        <w:rPr>
          <w:rFonts w:asciiTheme="minorHAnsi" w:hAnsiTheme="minorHAnsi" w:cs="MinionPro-Semibold"/>
        </w:rPr>
        <w:t>ultimately benefit</w:t>
      </w:r>
      <w:r w:rsidR="001E1D8B">
        <w:rPr>
          <w:rFonts w:asciiTheme="minorHAnsi" w:hAnsiTheme="minorHAnsi" w:cs="MinionPro-Semibold"/>
        </w:rPr>
        <w:t xml:space="preserve"> our students by preparing them for ca</w:t>
      </w:r>
      <w:r w:rsidR="00EA5B01">
        <w:rPr>
          <w:rFonts w:asciiTheme="minorHAnsi" w:hAnsiTheme="minorHAnsi" w:cs="MinionPro-Semibold"/>
        </w:rPr>
        <w:t>reer and job opportunities. S</w:t>
      </w:r>
      <w:r w:rsidR="001E1D8B">
        <w:rPr>
          <w:rFonts w:asciiTheme="minorHAnsi" w:hAnsiTheme="minorHAnsi" w:cs="MinionPro-Semibold"/>
        </w:rPr>
        <w:t>econd, our faculty’s engagement with business and industry partners and sharing of academic and educational perspectives can enhance an organization’s quality, productivity, and job creation</w:t>
      </w:r>
      <w:r w:rsidR="00EA5B01">
        <w:rPr>
          <w:rFonts w:asciiTheme="minorHAnsi" w:hAnsiTheme="minorHAnsi" w:cs="MinionPro-Semibold"/>
        </w:rPr>
        <w:t>--</w:t>
      </w:r>
      <w:r w:rsidR="001E1D8B">
        <w:rPr>
          <w:rFonts w:asciiTheme="minorHAnsi" w:hAnsiTheme="minorHAnsi" w:cs="MinionPro-Semibold"/>
        </w:rPr>
        <w:t>all to benefit workforce efforts in the region.</w:t>
      </w:r>
    </w:p>
    <w:p w:rsidR="001E1D8B" w:rsidRPr="001E1D8B" w:rsidRDefault="001E1D8B" w:rsidP="001E1D8B">
      <w:pPr>
        <w:autoSpaceDE w:val="0"/>
        <w:autoSpaceDN w:val="0"/>
        <w:adjustRightInd w:val="0"/>
        <w:rPr>
          <w:rFonts w:asciiTheme="minorHAnsi" w:hAnsiTheme="minorHAnsi" w:cs="MinionPro-Semibold"/>
        </w:rPr>
      </w:pPr>
    </w:p>
    <w:p w:rsidR="009F0CCD" w:rsidRDefault="003E7E16" w:rsidP="009F0CCD">
      <w:pPr>
        <w:rPr>
          <w:rFonts w:asciiTheme="minorHAnsi" w:eastAsia="MinionPro-Regular" w:hAnsiTheme="minorHAnsi" w:cs="MinionPro-Regular"/>
        </w:rPr>
      </w:pPr>
      <w:r w:rsidRPr="003E7E16">
        <w:rPr>
          <w:rFonts w:asciiTheme="minorHAnsi" w:hAnsiTheme="minorHAnsi"/>
          <w:b/>
        </w:rPr>
        <w:t>SCHEDULE</w:t>
      </w:r>
      <w:r>
        <w:rPr>
          <w:rFonts w:asciiTheme="minorHAnsi" w:hAnsiTheme="minorHAnsi"/>
        </w:rPr>
        <w:t xml:space="preserve"> </w:t>
      </w:r>
      <w:r w:rsidR="007716EC">
        <w:rPr>
          <w:rFonts w:asciiTheme="minorHAnsi" w:hAnsiTheme="minorHAnsi"/>
        </w:rPr>
        <w:t>B</w:t>
      </w:r>
      <w:r w:rsidR="007B3811" w:rsidRPr="007B3811">
        <w:rPr>
          <w:rFonts w:asciiTheme="minorHAnsi" w:hAnsiTheme="minorHAnsi"/>
        </w:rPr>
        <w:t>eginning</w:t>
      </w:r>
      <w:r w:rsidR="008B2252" w:rsidRPr="007B3811">
        <w:rPr>
          <w:rFonts w:asciiTheme="minorHAnsi" w:hAnsiTheme="minorHAnsi"/>
        </w:rPr>
        <w:t xml:space="preserve"> with an “On the Road” </w:t>
      </w:r>
      <w:r w:rsidR="007716EC">
        <w:rPr>
          <w:rFonts w:asciiTheme="minorHAnsi" w:hAnsiTheme="minorHAnsi"/>
        </w:rPr>
        <w:t>s</w:t>
      </w:r>
      <w:r w:rsidR="007D1F5B">
        <w:rPr>
          <w:rFonts w:asciiTheme="minorHAnsi" w:hAnsiTheme="minorHAnsi"/>
        </w:rPr>
        <w:t>ummit</w:t>
      </w:r>
      <w:r w:rsidR="007716EC">
        <w:rPr>
          <w:rFonts w:asciiTheme="minorHAnsi" w:hAnsiTheme="minorHAnsi"/>
        </w:rPr>
        <w:t>, the college planned</w:t>
      </w:r>
      <w:r w:rsidR="008B2252" w:rsidRPr="007B3811">
        <w:rPr>
          <w:rFonts w:asciiTheme="minorHAnsi" w:hAnsiTheme="minorHAnsi"/>
        </w:rPr>
        <w:t xml:space="preserve"> </w:t>
      </w:r>
      <w:r w:rsidR="007716EC">
        <w:rPr>
          <w:rFonts w:asciiTheme="minorHAnsi" w:hAnsiTheme="minorHAnsi"/>
        </w:rPr>
        <w:t>one s</w:t>
      </w:r>
      <w:r w:rsidR="00F47D0E">
        <w:rPr>
          <w:rFonts w:asciiTheme="minorHAnsi" w:hAnsiTheme="minorHAnsi"/>
        </w:rPr>
        <w:t xml:space="preserve">ummit </w:t>
      </w:r>
      <w:r w:rsidR="007716EC">
        <w:rPr>
          <w:rFonts w:asciiTheme="minorHAnsi" w:hAnsiTheme="minorHAnsi"/>
        </w:rPr>
        <w:t xml:space="preserve">each semester, </w:t>
      </w:r>
      <w:r w:rsidR="00F47D0E">
        <w:rPr>
          <w:rFonts w:asciiTheme="minorHAnsi" w:hAnsiTheme="minorHAnsi"/>
        </w:rPr>
        <w:t xml:space="preserve">each with a particular </w:t>
      </w:r>
      <w:r w:rsidR="007716EC">
        <w:rPr>
          <w:rFonts w:asciiTheme="minorHAnsi" w:hAnsiTheme="minorHAnsi"/>
        </w:rPr>
        <w:t xml:space="preserve">industry </w:t>
      </w:r>
      <w:r w:rsidR="00F47D0E">
        <w:rPr>
          <w:rFonts w:asciiTheme="minorHAnsi" w:hAnsiTheme="minorHAnsi"/>
        </w:rPr>
        <w:t xml:space="preserve">sector focus. </w:t>
      </w:r>
      <w:r w:rsidR="007D1F5B">
        <w:rPr>
          <w:rFonts w:asciiTheme="minorHAnsi" w:hAnsiTheme="minorHAnsi"/>
        </w:rPr>
        <w:t>To date, t</w:t>
      </w:r>
      <w:r w:rsidR="008B2252" w:rsidRPr="007B3811">
        <w:rPr>
          <w:rFonts w:asciiTheme="minorHAnsi" w:eastAsia="MinionPro-Regular" w:hAnsiTheme="minorHAnsi" w:cs="MinionPro-Regular"/>
        </w:rPr>
        <w:t>h</w:t>
      </w:r>
      <w:r w:rsidR="007D1F5B">
        <w:rPr>
          <w:rFonts w:asciiTheme="minorHAnsi" w:eastAsia="MinionPro-Regular" w:hAnsiTheme="minorHAnsi" w:cs="MinionPro-Regular"/>
        </w:rPr>
        <w:t>is</w:t>
      </w:r>
      <w:r w:rsidR="008B2252" w:rsidRPr="007B3811">
        <w:rPr>
          <w:rFonts w:asciiTheme="minorHAnsi" w:eastAsia="MinionPro-Regular" w:hAnsiTheme="minorHAnsi" w:cs="MinionPro-Regular"/>
        </w:rPr>
        <w:t xml:space="preserve"> series</w:t>
      </w:r>
      <w:r w:rsidR="007B3811" w:rsidRPr="007B3811">
        <w:rPr>
          <w:rFonts w:asciiTheme="minorHAnsi" w:eastAsia="MinionPro-Regular" w:hAnsiTheme="minorHAnsi" w:cs="MinionPro-Regular"/>
        </w:rPr>
        <w:t>, d</w:t>
      </w:r>
      <w:r w:rsidR="008B2252" w:rsidRPr="007B3811">
        <w:rPr>
          <w:rFonts w:asciiTheme="minorHAnsi" w:eastAsia="MinionPro-Regular" w:hAnsiTheme="minorHAnsi" w:cs="MinionPro-Regular"/>
        </w:rPr>
        <w:t>esigned to support the development of</w:t>
      </w:r>
      <w:r w:rsidR="007B3811">
        <w:rPr>
          <w:rFonts w:asciiTheme="minorHAnsi" w:eastAsia="MinionPro-Regular" w:hAnsiTheme="minorHAnsi" w:cs="MinionPro-Regular"/>
        </w:rPr>
        <w:t xml:space="preserve"> </w:t>
      </w:r>
      <w:r w:rsidR="008B2252" w:rsidRPr="007B3811">
        <w:rPr>
          <w:rFonts w:asciiTheme="minorHAnsi" w:eastAsia="MinionPro-Regular" w:hAnsiTheme="minorHAnsi" w:cs="MinionPro-Regular"/>
        </w:rPr>
        <w:t>relevant curricul</w:t>
      </w:r>
      <w:r w:rsidR="009F0CCD">
        <w:rPr>
          <w:rFonts w:asciiTheme="minorHAnsi" w:eastAsia="MinionPro-Regular" w:hAnsiTheme="minorHAnsi" w:cs="MinionPro-Regular"/>
        </w:rPr>
        <w:t>a</w:t>
      </w:r>
      <w:r w:rsidR="008B2252" w:rsidRPr="007B3811">
        <w:rPr>
          <w:rFonts w:asciiTheme="minorHAnsi" w:eastAsia="MinionPro-Regular" w:hAnsiTheme="minorHAnsi" w:cs="MinionPro-Regular"/>
        </w:rPr>
        <w:t xml:space="preserve"> and expansion into new education and training programs in high-demand areas</w:t>
      </w:r>
      <w:r w:rsidR="007B3811" w:rsidRPr="007B3811">
        <w:rPr>
          <w:rFonts w:asciiTheme="minorHAnsi" w:eastAsia="MinionPro-Regular" w:hAnsiTheme="minorHAnsi" w:cs="MinionPro-Regular"/>
        </w:rPr>
        <w:t xml:space="preserve">, has welcomed more </w:t>
      </w:r>
      <w:r w:rsidR="008B2252" w:rsidRPr="007B3811">
        <w:rPr>
          <w:rFonts w:asciiTheme="minorHAnsi" w:eastAsia="MinionPro-Regular" w:hAnsiTheme="minorHAnsi" w:cs="MinionPro-Regular"/>
        </w:rPr>
        <w:t xml:space="preserve">than 150 </w:t>
      </w:r>
      <w:r w:rsidR="007B3811" w:rsidRPr="007B3811">
        <w:rPr>
          <w:rFonts w:asciiTheme="minorHAnsi" w:eastAsia="MinionPro-Regular" w:hAnsiTheme="minorHAnsi" w:cs="MinionPro-Regular"/>
        </w:rPr>
        <w:t>business and i</w:t>
      </w:r>
      <w:r w:rsidR="008B2252" w:rsidRPr="007B3811">
        <w:rPr>
          <w:rFonts w:asciiTheme="minorHAnsi" w:eastAsia="MinionPro-Regular" w:hAnsiTheme="minorHAnsi" w:cs="MinionPro-Regular"/>
        </w:rPr>
        <w:t xml:space="preserve">ndustry professionals </w:t>
      </w:r>
      <w:r w:rsidR="007B3811" w:rsidRPr="007B3811">
        <w:rPr>
          <w:rFonts w:asciiTheme="minorHAnsi" w:eastAsia="MinionPro-Regular" w:hAnsiTheme="minorHAnsi" w:cs="MinionPro-Regular"/>
        </w:rPr>
        <w:t xml:space="preserve">to </w:t>
      </w:r>
      <w:r w:rsidR="00E8728D">
        <w:rPr>
          <w:rFonts w:asciiTheme="minorHAnsi" w:eastAsia="MinionPro-Regular" w:hAnsiTheme="minorHAnsi" w:cs="MinionPro-Regular"/>
        </w:rPr>
        <w:t>engage with f</w:t>
      </w:r>
      <w:r w:rsidR="007716EC">
        <w:rPr>
          <w:rFonts w:asciiTheme="minorHAnsi" w:eastAsia="MinionPro-Regular" w:hAnsiTheme="minorHAnsi" w:cs="MinionPro-Regular"/>
        </w:rPr>
        <w:t xml:space="preserve">aculty and staff </w:t>
      </w:r>
      <w:r w:rsidR="00E8728D">
        <w:rPr>
          <w:rFonts w:asciiTheme="minorHAnsi" w:eastAsia="MinionPro-Regular" w:hAnsiTheme="minorHAnsi" w:cs="MinionPro-Regular"/>
        </w:rPr>
        <w:t>to build workforce opportunities.</w:t>
      </w:r>
    </w:p>
    <w:p w:rsidR="009F0CCD" w:rsidRDefault="009F0CCD" w:rsidP="009F0CCD">
      <w:pPr>
        <w:rPr>
          <w:rFonts w:asciiTheme="minorHAnsi" w:eastAsia="MinionPro-Regular" w:hAnsiTheme="minorHAnsi" w:cs="MinionPro-Regular"/>
        </w:rPr>
      </w:pPr>
    </w:p>
    <w:p w:rsidR="007D1F5B" w:rsidRDefault="007716EC" w:rsidP="007716EC">
      <w:pPr>
        <w:ind w:right="-90"/>
      </w:pPr>
      <w:r w:rsidRPr="007716EC">
        <w:rPr>
          <w:rFonts w:asciiTheme="minorHAnsi" w:eastAsia="MinionPro-Regular" w:hAnsiTheme="minorHAnsi" w:cs="MinionPro-Regular"/>
          <w:b/>
        </w:rPr>
        <w:t>KEY QUESTIONS</w:t>
      </w:r>
      <w:r>
        <w:rPr>
          <w:rFonts w:asciiTheme="minorHAnsi" w:eastAsia="MinionPro-Regular" w:hAnsiTheme="minorHAnsi" w:cs="MinionPro-Regular"/>
        </w:rPr>
        <w:t xml:space="preserve"> E</w:t>
      </w:r>
      <w:r w:rsidR="007D1F5B">
        <w:rPr>
          <w:rFonts w:asciiTheme="minorHAnsi" w:eastAsia="MinionPro-Regular" w:hAnsiTheme="minorHAnsi" w:cs="MinionPro-Regular"/>
        </w:rPr>
        <w:t xml:space="preserve">ach </w:t>
      </w:r>
      <w:r>
        <w:rPr>
          <w:rFonts w:asciiTheme="minorHAnsi" w:eastAsia="MinionPro-Regular" w:hAnsiTheme="minorHAnsi" w:cs="MinionPro-Regular"/>
        </w:rPr>
        <w:t>s</w:t>
      </w:r>
      <w:r w:rsidR="009F0CCD">
        <w:rPr>
          <w:rFonts w:asciiTheme="minorHAnsi" w:eastAsia="MinionPro-Regular" w:hAnsiTheme="minorHAnsi" w:cs="MinionPro-Regular"/>
        </w:rPr>
        <w:t>ummit</w:t>
      </w:r>
      <w:r>
        <w:rPr>
          <w:rFonts w:asciiTheme="minorHAnsi" w:eastAsia="MinionPro-Regular" w:hAnsiTheme="minorHAnsi" w:cs="MinionPro-Regular"/>
        </w:rPr>
        <w:t xml:space="preserve"> asked </w:t>
      </w:r>
      <w:r w:rsidR="007D1F5B">
        <w:rPr>
          <w:rFonts w:asciiTheme="minorHAnsi" w:eastAsia="MinionPro-Regular" w:hAnsiTheme="minorHAnsi" w:cs="MinionPro-Regular"/>
        </w:rPr>
        <w:t>participants</w:t>
      </w:r>
      <w:r>
        <w:rPr>
          <w:rFonts w:asciiTheme="minorHAnsi" w:eastAsia="MinionPro-Regular" w:hAnsiTheme="minorHAnsi" w:cs="MinionPro-Regular"/>
        </w:rPr>
        <w:t xml:space="preserve"> </w:t>
      </w:r>
      <w:r w:rsidR="009F0CCD">
        <w:rPr>
          <w:rFonts w:asciiTheme="minorHAnsi" w:eastAsia="MinionPro-Regular" w:hAnsiTheme="minorHAnsi" w:cs="MinionPro-Regular"/>
        </w:rPr>
        <w:t xml:space="preserve">to </w:t>
      </w:r>
      <w:r>
        <w:t xml:space="preserve">address questions to guide </w:t>
      </w:r>
      <w:r w:rsidR="009F0CCD">
        <w:t>the College</w:t>
      </w:r>
      <w:r>
        <w:t>’s proposal for a new associate d</w:t>
      </w:r>
      <w:r w:rsidR="009F0CCD">
        <w:t xml:space="preserve">egree program, or </w:t>
      </w:r>
      <w:r w:rsidR="007D1F5B">
        <w:t xml:space="preserve">to </w:t>
      </w:r>
      <w:r w:rsidR="009F0CCD">
        <w:t>amend the curriculum of a c</w:t>
      </w:r>
      <w:r>
        <w:t>urrent program. Our faculty relied</w:t>
      </w:r>
      <w:r w:rsidR="009F0CCD">
        <w:t xml:space="preserve"> on these </w:t>
      </w:r>
      <w:r w:rsidR="00E8728D">
        <w:t xml:space="preserve">conversations with industry and business </w:t>
      </w:r>
      <w:r w:rsidR="007D1F5B">
        <w:t>expert</w:t>
      </w:r>
      <w:r w:rsidR="00E8728D">
        <w:t>s</w:t>
      </w:r>
      <w:r w:rsidR="007D1F5B">
        <w:t xml:space="preserve"> </w:t>
      </w:r>
      <w:r w:rsidR="009F0CCD">
        <w:t>for perspectives and suggestions on what can be done to help students succeed</w:t>
      </w:r>
      <w:r w:rsidR="00E8728D">
        <w:t xml:space="preserve"> in a career</w:t>
      </w:r>
      <w:r w:rsidR="009F0CCD">
        <w:t>.</w:t>
      </w:r>
      <w:r w:rsidR="001E1D8B">
        <w:t xml:space="preserve"> P</w:t>
      </w:r>
      <w:r w:rsidR="00533B6F">
        <w:t>articipants</w:t>
      </w:r>
      <w:r w:rsidR="007D1F5B">
        <w:t xml:space="preserve"> </w:t>
      </w:r>
      <w:r w:rsidR="001E1D8B">
        <w:t xml:space="preserve">were asked: </w:t>
      </w:r>
    </w:p>
    <w:p w:rsidR="00EA5B01" w:rsidRPr="003E7E16" w:rsidRDefault="00EA5B01" w:rsidP="007716EC">
      <w:pPr>
        <w:ind w:right="-90"/>
        <w:rPr>
          <w:sz w:val="16"/>
          <w:szCs w:val="16"/>
        </w:rPr>
      </w:pPr>
    </w:p>
    <w:p w:rsidR="001E1D8B" w:rsidRDefault="009F0CCD" w:rsidP="008C4DC5">
      <w:pPr>
        <w:pStyle w:val="ListParagraph"/>
        <w:numPr>
          <w:ilvl w:val="0"/>
          <w:numId w:val="1"/>
        </w:numPr>
        <w:spacing w:after="0"/>
        <w:ind w:left="630" w:right="1530" w:hanging="180"/>
        <w:rPr>
          <w:sz w:val="20"/>
          <w:szCs w:val="20"/>
        </w:rPr>
      </w:pPr>
      <w:r w:rsidRPr="001E1D8B">
        <w:rPr>
          <w:sz w:val="20"/>
          <w:szCs w:val="20"/>
        </w:rPr>
        <w:t xml:space="preserve">From your perspective, what projections would you cite about careers in </w:t>
      </w:r>
      <w:r w:rsidR="007D1F5B" w:rsidRPr="001E1D8B">
        <w:rPr>
          <w:sz w:val="20"/>
          <w:szCs w:val="20"/>
        </w:rPr>
        <w:t>this field</w:t>
      </w:r>
      <w:r w:rsidRPr="001E1D8B">
        <w:rPr>
          <w:sz w:val="20"/>
          <w:szCs w:val="20"/>
        </w:rPr>
        <w:t xml:space="preserve">, and </w:t>
      </w:r>
      <w:r w:rsidR="001E1D8B">
        <w:rPr>
          <w:sz w:val="20"/>
          <w:szCs w:val="20"/>
        </w:rPr>
        <w:t xml:space="preserve">                                        </w:t>
      </w:r>
      <w:r w:rsidRPr="001E1D8B">
        <w:rPr>
          <w:sz w:val="20"/>
          <w:szCs w:val="20"/>
        </w:rPr>
        <w:t xml:space="preserve">what are the emerging opportunities for growth and advancement in these fields? </w:t>
      </w:r>
    </w:p>
    <w:p w:rsidR="009F0CCD" w:rsidRPr="001E1D8B" w:rsidRDefault="009F0CCD" w:rsidP="008C4DC5">
      <w:pPr>
        <w:pStyle w:val="ListParagraph"/>
        <w:numPr>
          <w:ilvl w:val="0"/>
          <w:numId w:val="1"/>
        </w:numPr>
        <w:spacing w:after="0"/>
        <w:ind w:left="630" w:right="1530" w:hanging="180"/>
        <w:rPr>
          <w:sz w:val="20"/>
          <w:szCs w:val="20"/>
        </w:rPr>
      </w:pPr>
      <w:r w:rsidRPr="001E1D8B">
        <w:rPr>
          <w:sz w:val="20"/>
          <w:szCs w:val="20"/>
        </w:rPr>
        <w:t xml:space="preserve">What do students need to know to have a successful career in the </w:t>
      </w:r>
      <w:r w:rsidR="007D1F5B" w:rsidRPr="001E1D8B">
        <w:rPr>
          <w:sz w:val="20"/>
          <w:szCs w:val="20"/>
        </w:rPr>
        <w:t>industry</w:t>
      </w:r>
      <w:r w:rsidRPr="001E1D8B">
        <w:rPr>
          <w:sz w:val="20"/>
          <w:szCs w:val="20"/>
        </w:rPr>
        <w:t>?</w:t>
      </w:r>
    </w:p>
    <w:p w:rsidR="009F0CCD" w:rsidRPr="001E1D8B" w:rsidRDefault="009F0CCD" w:rsidP="001E1D8B">
      <w:pPr>
        <w:pStyle w:val="NormalWeb"/>
        <w:numPr>
          <w:ilvl w:val="0"/>
          <w:numId w:val="1"/>
        </w:numPr>
        <w:spacing w:before="0" w:beforeAutospacing="0" w:after="0" w:afterAutospacing="0"/>
        <w:ind w:left="630" w:right="1530" w:hanging="180"/>
        <w:rPr>
          <w:rFonts w:ascii="Calibri" w:hAnsi="Calibri"/>
          <w:sz w:val="20"/>
          <w:szCs w:val="20"/>
        </w:rPr>
      </w:pPr>
      <w:r w:rsidRPr="001E1D8B">
        <w:rPr>
          <w:rFonts w:ascii="Calibri" w:hAnsi="Calibri"/>
          <w:sz w:val="20"/>
          <w:szCs w:val="20"/>
        </w:rPr>
        <w:t>What other courses/degrees are required</w:t>
      </w:r>
      <w:r w:rsidR="007D1F5B" w:rsidRPr="001E1D8B">
        <w:rPr>
          <w:rFonts w:ascii="Calibri" w:hAnsi="Calibri"/>
          <w:sz w:val="20"/>
          <w:szCs w:val="20"/>
        </w:rPr>
        <w:t xml:space="preserve"> for advancement</w:t>
      </w:r>
      <w:r w:rsidRPr="001E1D8B">
        <w:rPr>
          <w:rFonts w:ascii="Calibri" w:hAnsi="Calibri"/>
          <w:sz w:val="20"/>
          <w:szCs w:val="20"/>
        </w:rPr>
        <w:t>?</w:t>
      </w:r>
    </w:p>
    <w:p w:rsidR="009F0CCD" w:rsidRPr="001E1D8B" w:rsidRDefault="009F0CCD" w:rsidP="001E1D8B">
      <w:pPr>
        <w:pStyle w:val="NormalWeb"/>
        <w:numPr>
          <w:ilvl w:val="0"/>
          <w:numId w:val="1"/>
        </w:numPr>
        <w:spacing w:before="0" w:beforeAutospacing="0" w:after="0" w:afterAutospacing="0"/>
        <w:ind w:left="630" w:right="1530" w:hanging="180"/>
        <w:rPr>
          <w:rFonts w:ascii="Calibri" w:hAnsi="Calibri"/>
          <w:sz w:val="20"/>
          <w:szCs w:val="20"/>
        </w:rPr>
      </w:pPr>
      <w:r w:rsidRPr="001E1D8B">
        <w:rPr>
          <w:rFonts w:ascii="Calibri" w:hAnsi="Calibri"/>
          <w:sz w:val="20"/>
          <w:szCs w:val="20"/>
        </w:rPr>
        <w:t xml:space="preserve">What do you feel are the most important traits in a prospective employee </w:t>
      </w:r>
      <w:r w:rsidR="001E1D8B">
        <w:rPr>
          <w:rFonts w:ascii="Calibri" w:hAnsi="Calibri"/>
          <w:sz w:val="20"/>
          <w:szCs w:val="20"/>
        </w:rPr>
        <w:t xml:space="preserve">                                             </w:t>
      </w:r>
      <w:r w:rsidRPr="001E1D8B">
        <w:rPr>
          <w:rFonts w:ascii="Calibri" w:hAnsi="Calibri"/>
          <w:sz w:val="20"/>
          <w:szCs w:val="20"/>
        </w:rPr>
        <w:t>(e.g. social skills, willingness to learn, team player, effective communicator, etc.)?</w:t>
      </w:r>
    </w:p>
    <w:p w:rsidR="009F0CCD" w:rsidRPr="001E1D8B" w:rsidRDefault="009F0CCD" w:rsidP="001E1D8B">
      <w:pPr>
        <w:pStyle w:val="NormalWeb"/>
        <w:numPr>
          <w:ilvl w:val="0"/>
          <w:numId w:val="1"/>
        </w:numPr>
        <w:spacing w:before="0" w:beforeAutospacing="0" w:after="0" w:afterAutospacing="0"/>
        <w:ind w:left="630" w:right="1530" w:hanging="180"/>
        <w:rPr>
          <w:rFonts w:ascii="Calibri" w:hAnsi="Calibri"/>
          <w:sz w:val="20"/>
          <w:szCs w:val="20"/>
        </w:rPr>
      </w:pPr>
      <w:r w:rsidRPr="001E1D8B">
        <w:rPr>
          <w:rFonts w:ascii="Calibri" w:hAnsi="Calibri"/>
          <w:sz w:val="20"/>
          <w:szCs w:val="20"/>
        </w:rPr>
        <w:t xml:space="preserve">What would you advise a student who has </w:t>
      </w:r>
      <w:r w:rsidR="007D1F5B" w:rsidRPr="001E1D8B">
        <w:rPr>
          <w:rFonts w:ascii="Calibri" w:hAnsi="Calibri"/>
          <w:sz w:val="20"/>
          <w:szCs w:val="20"/>
        </w:rPr>
        <w:t xml:space="preserve">an </w:t>
      </w:r>
      <w:r w:rsidRPr="001E1D8B">
        <w:rPr>
          <w:rFonts w:ascii="Calibri" w:hAnsi="Calibri"/>
          <w:sz w:val="20"/>
          <w:szCs w:val="20"/>
        </w:rPr>
        <w:t>interest in the field?</w:t>
      </w:r>
    </w:p>
    <w:p w:rsidR="009F0CCD" w:rsidRPr="001E1D8B" w:rsidRDefault="009F0CCD" w:rsidP="001E1D8B">
      <w:pPr>
        <w:pStyle w:val="NormalWeb"/>
        <w:numPr>
          <w:ilvl w:val="0"/>
          <w:numId w:val="1"/>
        </w:numPr>
        <w:spacing w:before="0" w:beforeAutospacing="0" w:after="0" w:afterAutospacing="0"/>
        <w:ind w:left="630" w:right="1530" w:hanging="180"/>
        <w:rPr>
          <w:rFonts w:ascii="Calibri" w:hAnsi="Calibri"/>
          <w:sz w:val="20"/>
          <w:szCs w:val="20"/>
        </w:rPr>
      </w:pPr>
      <w:r w:rsidRPr="001E1D8B">
        <w:rPr>
          <w:rFonts w:ascii="Calibri" w:hAnsi="Calibri"/>
          <w:sz w:val="20"/>
          <w:szCs w:val="20"/>
        </w:rPr>
        <w:t xml:space="preserve">What do you think are the opportunities for advancement? In these fields? At your company? </w:t>
      </w:r>
      <w:r w:rsidR="001E1D8B">
        <w:rPr>
          <w:rFonts w:ascii="Calibri" w:hAnsi="Calibri"/>
          <w:sz w:val="20"/>
          <w:szCs w:val="20"/>
        </w:rPr>
        <w:t xml:space="preserve">             </w:t>
      </w:r>
      <w:r w:rsidRPr="001E1D8B">
        <w:rPr>
          <w:rFonts w:ascii="Calibri" w:hAnsi="Calibri"/>
          <w:sz w:val="20"/>
          <w:szCs w:val="20"/>
        </w:rPr>
        <w:t>At the Associates degree level?  At the Bachelor’s degree level?</w:t>
      </w:r>
      <w:r w:rsidRPr="001E1D8B">
        <w:rPr>
          <w:rFonts w:ascii="Calibri" w:hAnsi="Calibri"/>
          <w:b/>
          <w:bCs/>
          <w:i/>
          <w:iCs/>
          <w:sz w:val="20"/>
          <w:szCs w:val="20"/>
        </w:rPr>
        <w:t> </w:t>
      </w:r>
    </w:p>
    <w:p w:rsidR="009F0CCD" w:rsidRPr="003E7E16" w:rsidRDefault="009F0CCD" w:rsidP="009F0CCD">
      <w:pPr>
        <w:rPr>
          <w:sz w:val="16"/>
          <w:szCs w:val="16"/>
        </w:rPr>
      </w:pPr>
    </w:p>
    <w:p w:rsidR="00EA5B01" w:rsidRDefault="00EA5B01" w:rsidP="007B3811">
      <w:pPr>
        <w:autoSpaceDE w:val="0"/>
        <w:autoSpaceDN w:val="0"/>
        <w:adjustRightInd w:val="0"/>
        <w:rPr>
          <w:rFonts w:asciiTheme="minorHAnsi" w:eastAsia="MinionPro-Regular" w:hAnsiTheme="minorHAnsi" w:cs="MinionPro-Regular"/>
        </w:rPr>
      </w:pPr>
      <w:r w:rsidRPr="00EA5B01">
        <w:rPr>
          <w:rFonts w:asciiTheme="minorHAnsi" w:eastAsia="MinionPro-Regular" w:hAnsiTheme="minorHAnsi" w:cs="MinionPro-Regular"/>
          <w:b/>
        </w:rPr>
        <w:t>OUTCOMES</w:t>
      </w:r>
      <w:r>
        <w:rPr>
          <w:rFonts w:asciiTheme="minorHAnsi" w:eastAsia="MinionPro-Regular" w:hAnsiTheme="minorHAnsi" w:cs="MinionPro-Regular"/>
        </w:rPr>
        <w:t xml:space="preserve"> A</w:t>
      </w:r>
      <w:r w:rsidR="007B3811">
        <w:rPr>
          <w:rFonts w:asciiTheme="minorHAnsi" w:eastAsia="MinionPro-Regular" w:hAnsiTheme="minorHAnsi" w:cs="MinionPro-Regular"/>
        </w:rPr>
        <w:t xml:space="preserve">n outcome of </w:t>
      </w:r>
      <w:r w:rsidR="007D1F5B">
        <w:rPr>
          <w:rFonts w:asciiTheme="minorHAnsi" w:eastAsia="MinionPro-Regular" w:hAnsiTheme="minorHAnsi" w:cs="MinionPro-Regular"/>
        </w:rPr>
        <w:t>the</w:t>
      </w:r>
      <w:r w:rsidR="007B3811">
        <w:rPr>
          <w:rFonts w:asciiTheme="minorHAnsi" w:eastAsia="MinionPro-Regular" w:hAnsiTheme="minorHAnsi" w:cs="MinionPro-Regular"/>
        </w:rPr>
        <w:t xml:space="preserve"> Summits can be seen in the </w:t>
      </w:r>
      <w:r w:rsidR="00E754F0">
        <w:rPr>
          <w:rFonts w:asciiTheme="minorHAnsi" w:eastAsia="MinionPro-Regular" w:hAnsiTheme="minorHAnsi" w:cs="MinionPro-Regular"/>
        </w:rPr>
        <w:t xml:space="preserve">recent </w:t>
      </w:r>
      <w:r w:rsidR="007B3811">
        <w:rPr>
          <w:rFonts w:asciiTheme="minorHAnsi" w:eastAsia="MinionPro-Regular" w:hAnsiTheme="minorHAnsi" w:cs="MinionPro-Regular"/>
        </w:rPr>
        <w:t>development of our</w:t>
      </w:r>
      <w:r>
        <w:rPr>
          <w:rFonts w:asciiTheme="minorHAnsi" w:eastAsia="MinionPro-Regular" w:hAnsiTheme="minorHAnsi" w:cs="MinionPro-Regular"/>
        </w:rPr>
        <w:t xml:space="preserve"> Cybersecurity degree program. </w:t>
      </w:r>
      <w:r w:rsidR="007B3811">
        <w:rPr>
          <w:rFonts w:asciiTheme="minorHAnsi" w:eastAsia="MinionPro-Regular" w:hAnsiTheme="minorHAnsi" w:cs="MinionPro-Regular"/>
        </w:rPr>
        <w:t>This new program</w:t>
      </w:r>
      <w:r w:rsidR="00F47D0E">
        <w:rPr>
          <w:rFonts w:asciiTheme="minorHAnsi" w:eastAsia="MinionPro-Regular" w:hAnsiTheme="minorHAnsi" w:cs="MinionPro-Regular"/>
        </w:rPr>
        <w:t>,</w:t>
      </w:r>
      <w:r w:rsidR="007B3811">
        <w:rPr>
          <w:rFonts w:asciiTheme="minorHAnsi" w:eastAsia="MinionPro-Regular" w:hAnsiTheme="minorHAnsi" w:cs="MinionPro-Regular"/>
        </w:rPr>
        <w:t xml:space="preserve"> in an emerging </w:t>
      </w:r>
      <w:r w:rsidR="00F47D0E">
        <w:rPr>
          <w:rFonts w:asciiTheme="minorHAnsi" w:eastAsia="MinionPro-Regular" w:hAnsiTheme="minorHAnsi" w:cs="MinionPro-Regular"/>
        </w:rPr>
        <w:t xml:space="preserve">technical </w:t>
      </w:r>
      <w:r w:rsidR="007B3811">
        <w:rPr>
          <w:rFonts w:asciiTheme="minorHAnsi" w:eastAsia="MinionPro-Regular" w:hAnsiTheme="minorHAnsi" w:cs="MinionPro-Regular"/>
        </w:rPr>
        <w:t xml:space="preserve">field that </w:t>
      </w:r>
      <w:r w:rsidR="009F0CCD">
        <w:rPr>
          <w:rFonts w:asciiTheme="minorHAnsi" w:eastAsia="MinionPro-Regular" w:hAnsiTheme="minorHAnsi" w:cs="MinionPro-Regular"/>
        </w:rPr>
        <w:t>can</w:t>
      </w:r>
      <w:r w:rsidR="007B3811">
        <w:rPr>
          <w:rFonts w:asciiTheme="minorHAnsi" w:eastAsia="MinionPro-Regular" w:hAnsiTheme="minorHAnsi" w:cs="MinionPro-Regular"/>
        </w:rPr>
        <w:t xml:space="preserve"> offer employment and transfer opportunities, was developed in collaboration with faculty and professionals in the criminal justice</w:t>
      </w:r>
      <w:r w:rsidR="00533B6F">
        <w:rPr>
          <w:rFonts w:asciiTheme="minorHAnsi" w:eastAsia="MinionPro-Regular" w:hAnsiTheme="minorHAnsi" w:cs="MinionPro-Regular"/>
        </w:rPr>
        <w:t xml:space="preserve"> (CJ)</w:t>
      </w:r>
      <w:r w:rsidR="007B3811">
        <w:rPr>
          <w:rFonts w:asciiTheme="minorHAnsi" w:eastAsia="MinionPro-Regular" w:hAnsiTheme="minorHAnsi" w:cs="MinionPro-Regular"/>
        </w:rPr>
        <w:t xml:space="preserve"> and computer information systems </w:t>
      </w:r>
      <w:r w:rsidR="00533B6F">
        <w:rPr>
          <w:rFonts w:asciiTheme="minorHAnsi" w:eastAsia="MinionPro-Regular" w:hAnsiTheme="minorHAnsi" w:cs="MinionPro-Regular"/>
        </w:rPr>
        <w:t xml:space="preserve">(CIS) </w:t>
      </w:r>
      <w:r w:rsidR="007B3811">
        <w:rPr>
          <w:rFonts w:asciiTheme="minorHAnsi" w:eastAsia="MinionPro-Regular" w:hAnsiTheme="minorHAnsi" w:cs="MinionPro-Regular"/>
        </w:rPr>
        <w:t xml:space="preserve">fields. </w:t>
      </w:r>
      <w:r w:rsidR="00E8728D">
        <w:rPr>
          <w:rFonts w:asciiTheme="minorHAnsi" w:eastAsia="MinionPro-Regular" w:hAnsiTheme="minorHAnsi" w:cs="MinionPro-Regular"/>
        </w:rPr>
        <w:t>NVCC faculty develop</w:t>
      </w:r>
      <w:r w:rsidR="00E754F0">
        <w:rPr>
          <w:rFonts w:asciiTheme="minorHAnsi" w:eastAsia="MinionPro-Regular" w:hAnsiTheme="minorHAnsi" w:cs="MinionPro-Regular"/>
        </w:rPr>
        <w:t>ed</w:t>
      </w:r>
      <w:r w:rsidR="00E8728D">
        <w:rPr>
          <w:rFonts w:asciiTheme="minorHAnsi" w:eastAsia="MinionPro-Regular" w:hAnsiTheme="minorHAnsi" w:cs="MinionPro-Regular"/>
        </w:rPr>
        <w:t xml:space="preserve"> a new </w:t>
      </w:r>
      <w:r w:rsidR="00E754F0">
        <w:rPr>
          <w:rFonts w:asciiTheme="minorHAnsi" w:eastAsia="MinionPro-Regular" w:hAnsiTheme="minorHAnsi" w:cs="MinionPro-Regular"/>
        </w:rPr>
        <w:t xml:space="preserve">degree </w:t>
      </w:r>
      <w:r w:rsidR="007D1F5B">
        <w:rPr>
          <w:rFonts w:asciiTheme="minorHAnsi" w:eastAsia="MinionPro-Regular" w:hAnsiTheme="minorHAnsi" w:cs="MinionPro-Regular"/>
        </w:rPr>
        <w:t xml:space="preserve">program proposal </w:t>
      </w:r>
      <w:r w:rsidR="00E8728D">
        <w:rPr>
          <w:rFonts w:asciiTheme="minorHAnsi" w:eastAsia="MinionPro-Regular" w:hAnsiTheme="minorHAnsi" w:cs="MinionPro-Regular"/>
        </w:rPr>
        <w:t xml:space="preserve">and </w:t>
      </w:r>
      <w:r w:rsidR="007D1F5B">
        <w:rPr>
          <w:rFonts w:asciiTheme="minorHAnsi" w:eastAsia="MinionPro-Regular" w:hAnsiTheme="minorHAnsi" w:cs="MinionPro-Regular"/>
        </w:rPr>
        <w:t>present</w:t>
      </w:r>
      <w:r w:rsidR="00E8728D">
        <w:rPr>
          <w:rFonts w:asciiTheme="minorHAnsi" w:eastAsia="MinionPro-Regular" w:hAnsiTheme="minorHAnsi" w:cs="MinionPro-Regular"/>
        </w:rPr>
        <w:t>ed it</w:t>
      </w:r>
      <w:r w:rsidR="007D1F5B">
        <w:rPr>
          <w:rFonts w:asciiTheme="minorHAnsi" w:eastAsia="MinionPro-Regular" w:hAnsiTheme="minorHAnsi" w:cs="MinionPro-Regular"/>
        </w:rPr>
        <w:t xml:space="preserve"> to Summit </w:t>
      </w:r>
      <w:r w:rsidR="00533B6F">
        <w:rPr>
          <w:rFonts w:asciiTheme="minorHAnsi" w:eastAsia="MinionPro-Regular" w:hAnsiTheme="minorHAnsi" w:cs="MinionPro-Regular"/>
        </w:rPr>
        <w:t>participants</w:t>
      </w:r>
      <w:r w:rsidR="007D1F5B">
        <w:rPr>
          <w:rFonts w:asciiTheme="minorHAnsi" w:eastAsia="MinionPro-Regular" w:hAnsiTheme="minorHAnsi" w:cs="MinionPro-Regular"/>
        </w:rPr>
        <w:t xml:space="preserve"> with expertise in the CIS and CJ fields</w:t>
      </w:r>
      <w:r w:rsidR="00E8728D">
        <w:rPr>
          <w:rFonts w:asciiTheme="minorHAnsi" w:eastAsia="MinionPro-Regular" w:hAnsiTheme="minorHAnsi" w:cs="MinionPro-Regular"/>
        </w:rPr>
        <w:t>. T</w:t>
      </w:r>
      <w:r w:rsidR="007D1F5B">
        <w:rPr>
          <w:rFonts w:asciiTheme="minorHAnsi" w:eastAsia="MinionPro-Regular" w:hAnsiTheme="minorHAnsi" w:cs="MinionPro-Regular"/>
        </w:rPr>
        <w:t xml:space="preserve">heir advice </w:t>
      </w:r>
      <w:r>
        <w:rPr>
          <w:rFonts w:asciiTheme="minorHAnsi" w:eastAsia="MinionPro-Regular" w:hAnsiTheme="minorHAnsi" w:cs="MinionPro-Regular"/>
        </w:rPr>
        <w:t xml:space="preserve">helped faculty </w:t>
      </w:r>
      <w:r w:rsidR="00533B6F">
        <w:rPr>
          <w:rFonts w:asciiTheme="minorHAnsi" w:eastAsia="MinionPro-Regular" w:hAnsiTheme="minorHAnsi" w:cs="MinionPro-Regular"/>
        </w:rPr>
        <w:t xml:space="preserve">align the degree program with industry standards and needs. </w:t>
      </w:r>
      <w:r w:rsidR="00F47D0E">
        <w:rPr>
          <w:rFonts w:asciiTheme="minorHAnsi" w:eastAsia="MinionPro-Regular" w:hAnsiTheme="minorHAnsi" w:cs="MinionPro-Regular"/>
        </w:rPr>
        <w:t xml:space="preserve">Since </w:t>
      </w:r>
      <w:r>
        <w:rPr>
          <w:rFonts w:asciiTheme="minorHAnsi" w:eastAsia="MinionPro-Regular" w:hAnsiTheme="minorHAnsi" w:cs="MinionPro-Regular"/>
        </w:rPr>
        <w:t xml:space="preserve">its Fall 2016 program launch, </w:t>
      </w:r>
      <w:r w:rsidR="00294579">
        <w:rPr>
          <w:rFonts w:asciiTheme="minorHAnsi" w:eastAsia="MinionPro-Regular" w:hAnsiTheme="minorHAnsi" w:cs="MinionPro-Regular"/>
        </w:rPr>
        <w:t>25</w:t>
      </w:r>
      <w:bookmarkStart w:id="0" w:name="_GoBack"/>
      <w:bookmarkEnd w:id="0"/>
      <w:r w:rsidR="00F47D0E">
        <w:rPr>
          <w:rFonts w:asciiTheme="minorHAnsi" w:eastAsia="MinionPro-Regular" w:hAnsiTheme="minorHAnsi" w:cs="MinionPro-Regular"/>
        </w:rPr>
        <w:t xml:space="preserve"> new students have </w:t>
      </w:r>
      <w:r w:rsidR="0060548A">
        <w:rPr>
          <w:rFonts w:asciiTheme="minorHAnsi" w:eastAsia="MinionPro-Regular" w:hAnsiTheme="minorHAnsi" w:cs="MinionPro-Regular"/>
        </w:rPr>
        <w:t>been accepted</w:t>
      </w:r>
      <w:r w:rsidR="007D1164">
        <w:rPr>
          <w:rFonts w:asciiTheme="minorHAnsi" w:eastAsia="MinionPro-Regular" w:hAnsiTheme="minorHAnsi" w:cs="MinionPro-Regular"/>
        </w:rPr>
        <w:t>, and nearly 100 students are enrolled in courses.</w:t>
      </w:r>
    </w:p>
    <w:p w:rsidR="007B3811" w:rsidRPr="003E7E16" w:rsidRDefault="007B3811" w:rsidP="007B3811">
      <w:pPr>
        <w:autoSpaceDE w:val="0"/>
        <w:autoSpaceDN w:val="0"/>
        <w:adjustRightInd w:val="0"/>
        <w:rPr>
          <w:rFonts w:asciiTheme="minorHAnsi" w:eastAsia="MinionPro-Regular" w:hAnsiTheme="minorHAnsi" w:cs="MinionPro-Regular"/>
          <w:sz w:val="16"/>
          <w:szCs w:val="16"/>
        </w:rPr>
      </w:pPr>
    </w:p>
    <w:p w:rsidR="000914D7" w:rsidRDefault="003E7E16" w:rsidP="007D1F5B">
      <w:pPr>
        <w:autoSpaceDE w:val="0"/>
        <w:autoSpaceDN w:val="0"/>
        <w:adjustRightInd w:val="0"/>
        <w:rPr>
          <w:rFonts w:asciiTheme="minorHAnsi" w:hAnsiTheme="minorHAnsi"/>
        </w:rPr>
      </w:pPr>
      <w:r w:rsidRPr="003E7E16">
        <w:rPr>
          <w:rFonts w:asciiTheme="minorHAnsi" w:hAnsiTheme="minorHAnsi" w:cs="MinionPro-Semibold"/>
          <w:b/>
        </w:rPr>
        <w:t>BENEFITS</w:t>
      </w:r>
      <w:r>
        <w:rPr>
          <w:rFonts w:asciiTheme="minorHAnsi" w:hAnsiTheme="minorHAnsi" w:cs="MinionPro-Semibold"/>
        </w:rPr>
        <w:t xml:space="preserve"> </w:t>
      </w:r>
      <w:r w:rsidR="0005565B">
        <w:rPr>
          <w:rFonts w:asciiTheme="minorHAnsi" w:hAnsiTheme="minorHAnsi" w:cs="MinionPro-Semibold"/>
        </w:rPr>
        <w:t>Summits have helped NVCC expand i</w:t>
      </w:r>
      <w:r w:rsidR="0005565B" w:rsidRPr="007B3811">
        <w:rPr>
          <w:rFonts w:asciiTheme="minorHAnsi" w:hAnsiTheme="minorHAnsi" w:cs="MinionPro-Semibold"/>
        </w:rPr>
        <w:t>ndustry engagement overall, with more and more industry representatives</w:t>
      </w:r>
      <w:r w:rsidR="0005565B">
        <w:rPr>
          <w:rFonts w:asciiTheme="minorHAnsi" w:hAnsiTheme="minorHAnsi" w:cs="MinionPro-Semibold"/>
        </w:rPr>
        <w:t xml:space="preserve"> engaging with faculty </w:t>
      </w:r>
      <w:r w:rsidR="0005565B" w:rsidRPr="007B3811">
        <w:rPr>
          <w:rFonts w:asciiTheme="minorHAnsi" w:hAnsiTheme="minorHAnsi" w:cs="MinionPro-Semibold"/>
        </w:rPr>
        <w:t xml:space="preserve">every year. </w:t>
      </w:r>
      <w:r w:rsidR="0005565B">
        <w:rPr>
          <w:rFonts w:asciiTheme="minorHAnsi" w:hAnsiTheme="minorHAnsi" w:cs="MinionPro-Semibold"/>
        </w:rPr>
        <w:t xml:space="preserve">The attached chart summarizes business and industry additions to our Curriculum Advisory Councils, and highlights specific curriculum results realized </w:t>
      </w:r>
      <w:r w:rsidR="00A5250F">
        <w:rPr>
          <w:rFonts w:asciiTheme="minorHAnsi" w:hAnsiTheme="minorHAnsi" w:cs="MinionPro-Semibold"/>
        </w:rPr>
        <w:t>through</w:t>
      </w:r>
      <w:r w:rsidR="0005565B">
        <w:rPr>
          <w:rFonts w:asciiTheme="minorHAnsi" w:hAnsiTheme="minorHAnsi" w:cs="MinionPro-Semibold"/>
        </w:rPr>
        <w:t xml:space="preserve"> Summit engagements. </w:t>
      </w:r>
      <w:r w:rsidR="0005565B">
        <w:rPr>
          <w:rFonts w:asciiTheme="minorHAnsi" w:eastAsia="MinionPro-Regular" w:hAnsiTheme="minorHAnsi" w:cs="MinionPro-Regular"/>
        </w:rPr>
        <w:t xml:space="preserve">NVCC’s </w:t>
      </w:r>
      <w:r w:rsidR="00EA5B01">
        <w:rPr>
          <w:rFonts w:asciiTheme="minorHAnsi" w:eastAsia="MinionPro-Regular" w:hAnsiTheme="minorHAnsi" w:cs="MinionPro-Regular"/>
        </w:rPr>
        <w:t xml:space="preserve">Industry </w:t>
      </w:r>
      <w:r w:rsidR="0005565B">
        <w:rPr>
          <w:rFonts w:asciiTheme="minorHAnsi" w:eastAsia="MinionPro-Regular" w:hAnsiTheme="minorHAnsi" w:cs="MinionPro-Regular"/>
        </w:rPr>
        <w:t xml:space="preserve">Sector Summits </w:t>
      </w:r>
      <w:r w:rsidR="007C6141" w:rsidRPr="007B3811">
        <w:rPr>
          <w:rFonts w:asciiTheme="minorHAnsi" w:eastAsia="MinionPro-Regular" w:hAnsiTheme="minorHAnsi" w:cs="MinionPro-Regular"/>
        </w:rPr>
        <w:t xml:space="preserve">have helped </w:t>
      </w:r>
      <w:r w:rsidR="000914D7">
        <w:rPr>
          <w:rFonts w:asciiTheme="minorHAnsi" w:eastAsia="MinionPro-Regular" w:hAnsiTheme="minorHAnsi" w:cs="MinionPro-Regular"/>
        </w:rPr>
        <w:t xml:space="preserve">to </w:t>
      </w:r>
      <w:r w:rsidR="007C6141" w:rsidRPr="007B3811">
        <w:rPr>
          <w:rFonts w:asciiTheme="minorHAnsi" w:hAnsiTheme="minorHAnsi"/>
        </w:rPr>
        <w:t xml:space="preserve">serve the needs of employers in our service area </w:t>
      </w:r>
      <w:r w:rsidR="007C6141">
        <w:rPr>
          <w:rFonts w:asciiTheme="minorHAnsi" w:hAnsiTheme="minorHAnsi"/>
        </w:rPr>
        <w:t xml:space="preserve">while </w:t>
      </w:r>
      <w:r w:rsidR="007C6141" w:rsidRPr="007B3811">
        <w:rPr>
          <w:rFonts w:asciiTheme="minorHAnsi" w:hAnsiTheme="minorHAnsi"/>
        </w:rPr>
        <w:t>prepar</w:t>
      </w:r>
      <w:r w:rsidR="007C6141">
        <w:rPr>
          <w:rFonts w:asciiTheme="minorHAnsi" w:hAnsiTheme="minorHAnsi"/>
        </w:rPr>
        <w:t>ing</w:t>
      </w:r>
      <w:r w:rsidR="007C6141" w:rsidRPr="007B3811">
        <w:rPr>
          <w:rFonts w:asciiTheme="minorHAnsi" w:hAnsiTheme="minorHAnsi"/>
        </w:rPr>
        <w:t xml:space="preserve"> students </w:t>
      </w:r>
      <w:r w:rsidR="007C6141">
        <w:rPr>
          <w:rFonts w:asciiTheme="minorHAnsi" w:hAnsiTheme="minorHAnsi"/>
        </w:rPr>
        <w:t xml:space="preserve">for a </w:t>
      </w:r>
      <w:r w:rsidR="007C6141" w:rsidRPr="007B3811">
        <w:rPr>
          <w:rFonts w:asciiTheme="minorHAnsi" w:hAnsiTheme="minorHAnsi"/>
        </w:rPr>
        <w:t>career</w:t>
      </w:r>
      <w:r w:rsidR="007C6141">
        <w:rPr>
          <w:rFonts w:asciiTheme="minorHAnsi" w:hAnsiTheme="minorHAnsi"/>
        </w:rPr>
        <w:t xml:space="preserve"> or further education</w:t>
      </w:r>
      <w:r w:rsidR="007C6141" w:rsidRPr="007B3811">
        <w:rPr>
          <w:rFonts w:asciiTheme="minorHAnsi" w:hAnsiTheme="minorHAnsi"/>
        </w:rPr>
        <w:t>.</w:t>
      </w:r>
      <w:r w:rsidR="0005565B">
        <w:rPr>
          <w:rFonts w:asciiTheme="minorHAnsi" w:hAnsiTheme="minorHAnsi"/>
        </w:rPr>
        <w:t xml:space="preserve"> </w:t>
      </w:r>
      <w:r w:rsidR="00A5250F">
        <w:rPr>
          <w:rFonts w:asciiTheme="minorHAnsi" w:hAnsiTheme="minorHAnsi"/>
        </w:rPr>
        <w:t xml:space="preserve">Examples can be seen in internship </w:t>
      </w:r>
      <w:r w:rsidR="00D71693">
        <w:rPr>
          <w:rFonts w:asciiTheme="minorHAnsi" w:hAnsiTheme="minorHAnsi"/>
        </w:rPr>
        <w:t>opportunities</w:t>
      </w:r>
      <w:r w:rsidR="00A5250F">
        <w:rPr>
          <w:rFonts w:asciiTheme="minorHAnsi" w:hAnsiTheme="minorHAnsi"/>
        </w:rPr>
        <w:t xml:space="preserve"> (as noted on the </w:t>
      </w:r>
      <w:r w:rsidR="000914D7">
        <w:rPr>
          <w:rFonts w:asciiTheme="minorHAnsi" w:hAnsiTheme="minorHAnsi"/>
        </w:rPr>
        <w:t xml:space="preserve">attached </w:t>
      </w:r>
      <w:r w:rsidR="00A5250F">
        <w:rPr>
          <w:rFonts w:asciiTheme="minorHAnsi" w:hAnsiTheme="minorHAnsi"/>
        </w:rPr>
        <w:t>chart) as well as preparation for future jobs with part</w:t>
      </w:r>
      <w:r w:rsidR="000914D7">
        <w:rPr>
          <w:rFonts w:asciiTheme="minorHAnsi" w:hAnsiTheme="minorHAnsi"/>
        </w:rPr>
        <w:t>icipating</w:t>
      </w:r>
      <w:r w:rsidR="00A5250F">
        <w:rPr>
          <w:rFonts w:asciiTheme="minorHAnsi" w:hAnsiTheme="minorHAnsi"/>
        </w:rPr>
        <w:t xml:space="preserve"> organizations.  </w:t>
      </w:r>
    </w:p>
    <w:p w:rsidR="00C4108C" w:rsidRDefault="00C4108C" w:rsidP="007D1F5B">
      <w:pPr>
        <w:autoSpaceDE w:val="0"/>
        <w:autoSpaceDN w:val="0"/>
        <w:adjustRightInd w:val="0"/>
      </w:pPr>
    </w:p>
    <w:p w:rsidR="00F467E5" w:rsidRDefault="00F467E5" w:rsidP="007D1F5B">
      <w:pPr>
        <w:autoSpaceDE w:val="0"/>
        <w:autoSpaceDN w:val="0"/>
        <w:adjustRightInd w:val="0"/>
      </w:pPr>
    </w:p>
    <w:tbl>
      <w:tblPr>
        <w:tblW w:w="11700" w:type="dxa"/>
        <w:tblInd w:w="-630" w:type="dxa"/>
        <w:tblLook w:val="04A0" w:firstRow="1" w:lastRow="0" w:firstColumn="1" w:lastColumn="0" w:noHBand="0" w:noVBand="1"/>
      </w:tblPr>
      <w:tblGrid>
        <w:gridCol w:w="1440"/>
        <w:gridCol w:w="1542"/>
        <w:gridCol w:w="1542"/>
        <w:gridCol w:w="1866"/>
        <w:gridCol w:w="5310"/>
      </w:tblGrid>
      <w:tr w:rsidR="00C4108C" w:rsidRPr="00C4108C" w:rsidTr="005F50F5">
        <w:trPr>
          <w:trHeight w:val="252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93" w:rsidRDefault="00D71693" w:rsidP="003E7E16">
            <w:pPr>
              <w:rPr>
                <w:rFonts w:eastAsia="Times New Roman"/>
                <w:b/>
                <w:bCs/>
                <w:color w:val="000000"/>
              </w:rPr>
            </w:pPr>
          </w:p>
          <w:p w:rsidR="00C4108C" w:rsidRDefault="00C4108C" w:rsidP="003E7E16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</w:rPr>
            </w:pPr>
            <w:r w:rsidRPr="003E7E16"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t>Summary of Industry Sector Summit</w:t>
            </w:r>
            <w:r w:rsidR="00601BD3" w:rsidRPr="003E7E16"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t xml:space="preserve"> Outcomes</w:t>
            </w:r>
          </w:p>
          <w:p w:rsidR="00F467E5" w:rsidRPr="00F467E5" w:rsidRDefault="00F467E5" w:rsidP="003E7E16">
            <w:pPr>
              <w:ind w:lef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1AB9" w:rsidRPr="003C1AB9" w:rsidTr="005F50F5">
        <w:trPr>
          <w:trHeight w:val="4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C410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108C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C410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108C">
              <w:rPr>
                <w:rFonts w:eastAsia="Times New Roman"/>
                <w:b/>
                <w:bCs/>
                <w:color w:val="000000"/>
              </w:rPr>
              <w:t>Sector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C410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108C">
              <w:rPr>
                <w:rFonts w:eastAsia="Times New Roman"/>
                <w:b/>
                <w:bCs/>
                <w:color w:val="000000"/>
              </w:rPr>
              <w:t>Industry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C410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108C">
              <w:rPr>
                <w:rFonts w:eastAsia="Times New Roman"/>
                <w:b/>
                <w:bCs/>
                <w:color w:val="000000"/>
              </w:rPr>
              <w:t>Curriculum Advisory Council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6A7DBA" w:rsidP="00C410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Curriculum Results</w:t>
            </w:r>
          </w:p>
        </w:tc>
      </w:tr>
      <w:tr w:rsidR="003C1AB9" w:rsidRPr="003C1AB9" w:rsidTr="005F50F5">
        <w:trPr>
          <w:trHeight w:val="108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D2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Jun</w:t>
            </w:r>
            <w:r w:rsidR="00160AD2">
              <w:rPr>
                <w:rFonts w:eastAsia="Times New Roman"/>
                <w:color w:val="000000"/>
              </w:rPr>
              <w:t>e</w:t>
            </w:r>
          </w:p>
          <w:p w:rsidR="00C4108C" w:rsidRPr="00C4108C" w:rsidRDefault="003C1AB9" w:rsidP="00160AD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C4108C" w:rsidRPr="00C4108C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A3436C" w:rsidP="00A3436C">
            <w:pPr>
              <w:jc w:val="center"/>
              <w:rPr>
                <w:rFonts w:eastAsia="Times New Roman"/>
              </w:rPr>
            </w:pPr>
            <w:r w:rsidRPr="00C4108C">
              <w:rPr>
                <w:rFonts w:eastAsia="Times New Roman"/>
                <w:color w:val="000000"/>
              </w:rPr>
              <w:t>Manufacturing</w:t>
            </w:r>
            <w: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A3436C" w:rsidP="00160AD2">
            <w:pPr>
              <w:jc w:val="center"/>
              <w:rPr>
                <w:rFonts w:eastAsia="Times New Roman"/>
                <w:color w:val="000000"/>
              </w:rPr>
            </w:pPr>
            <w:r>
              <w:t xml:space="preserve">Advanced </w:t>
            </w:r>
            <w:hyperlink r:id="rId8" w:anchor="3783391-degree-programs" w:history="1">
              <w:r w:rsidRPr="003C1AB9">
                <w:rPr>
                  <w:rFonts w:eastAsia="Times New Roman"/>
                </w:rPr>
                <w:t>Manufacturing</w:t>
              </w:r>
            </w:hyperlink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160AD2">
            <w:pPr>
              <w:ind w:left="318" w:hanging="180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• Local </w:t>
            </w:r>
            <w:r w:rsidR="00160AD2">
              <w:rPr>
                <w:rFonts w:eastAsia="Times New Roman"/>
                <w:color w:val="000000"/>
              </w:rPr>
              <w:t xml:space="preserve">              </w:t>
            </w:r>
            <w:r w:rsidRPr="00C4108C">
              <w:rPr>
                <w:rFonts w:eastAsia="Times New Roman"/>
                <w:color w:val="000000"/>
              </w:rPr>
              <w:t>manufacturers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160AD2">
            <w:pPr>
              <w:ind w:right="-119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-Changes in </w:t>
            </w:r>
            <w:r w:rsidRPr="00160AD2">
              <w:rPr>
                <w:rFonts w:eastAsia="Times New Roman"/>
                <w:b/>
                <w:color w:val="000000"/>
              </w:rPr>
              <w:t>Manufacturing</w:t>
            </w:r>
            <w:r w:rsidRPr="00C4108C">
              <w:rPr>
                <w:rFonts w:eastAsia="Times New Roman"/>
                <w:color w:val="000000"/>
              </w:rPr>
              <w:t xml:space="preserve"> curriculum to create programs to meet the needs of local industry employers.                                                                           </w:t>
            </w:r>
            <w:r w:rsidR="006A7DBA">
              <w:rPr>
                <w:rFonts w:eastAsia="Times New Roman"/>
                <w:color w:val="000000"/>
              </w:rPr>
              <w:t xml:space="preserve">                               </w:t>
            </w:r>
          </w:p>
        </w:tc>
      </w:tr>
      <w:tr w:rsidR="003C1AB9" w:rsidRPr="003C1AB9" w:rsidTr="005F50F5">
        <w:trPr>
          <w:trHeight w:val="276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D2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Mar</w:t>
            </w:r>
            <w:r w:rsidR="00160AD2">
              <w:rPr>
                <w:rFonts w:eastAsia="Times New Roman"/>
                <w:color w:val="000000"/>
              </w:rPr>
              <w:t>ch</w:t>
            </w:r>
          </w:p>
          <w:p w:rsidR="00C4108C" w:rsidRPr="00C4108C" w:rsidRDefault="003C1AB9" w:rsidP="00160AD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C4108C" w:rsidRPr="00C4108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A3436C" w:rsidP="00A3436C">
            <w:pPr>
              <w:jc w:val="center"/>
              <w:rPr>
                <w:rFonts w:eastAsia="Times New Roman"/>
              </w:rPr>
            </w:pPr>
            <w:r w:rsidRPr="00C4108C">
              <w:rPr>
                <w:rFonts w:eastAsia="Times New Roman"/>
                <w:color w:val="000000"/>
              </w:rPr>
              <w:t>Information Technology</w:t>
            </w:r>
            <w: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3D5B2A" w:rsidP="00160AD2">
            <w:pPr>
              <w:jc w:val="center"/>
              <w:rPr>
                <w:rFonts w:eastAsia="Times New Roman"/>
                <w:color w:val="000000"/>
              </w:rPr>
            </w:pPr>
            <w:hyperlink r:id="rId9" w:history="1">
              <w:r w:rsidR="00A3436C" w:rsidRPr="003C1AB9">
                <w:rPr>
                  <w:rFonts w:eastAsia="Times New Roman"/>
                </w:rPr>
                <w:t>Cybersecurity</w:t>
              </w:r>
            </w:hyperlink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160AD2">
            <w:pPr>
              <w:ind w:left="138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• COCC</w:t>
            </w:r>
            <w:r w:rsidRPr="00C4108C">
              <w:rPr>
                <w:rFonts w:eastAsia="Times New Roman"/>
                <w:color w:val="000000"/>
              </w:rPr>
              <w:br/>
              <w:t>• Webster Bank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5934FD">
            <w:pPr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-Development of a new </w:t>
            </w:r>
            <w:r w:rsidRPr="00160AD2">
              <w:rPr>
                <w:rFonts w:eastAsia="Times New Roman"/>
                <w:b/>
                <w:color w:val="000000"/>
              </w:rPr>
              <w:t>Cyber Security</w:t>
            </w:r>
            <w:r w:rsidRPr="00C4108C">
              <w:rPr>
                <w:rFonts w:eastAsia="Times New Roman"/>
                <w:color w:val="000000"/>
              </w:rPr>
              <w:t xml:space="preserve"> associate degree program proposal for Fall 2016.                                                                                                   -Program proposal re</w:t>
            </w:r>
            <w:r w:rsidR="00160AD2">
              <w:rPr>
                <w:rFonts w:eastAsia="Times New Roman"/>
                <w:color w:val="000000"/>
              </w:rPr>
              <w:t xml:space="preserve">vised upon Summit </w:t>
            </w:r>
            <w:r w:rsidRPr="00C4108C">
              <w:rPr>
                <w:rFonts w:eastAsia="Times New Roman"/>
                <w:color w:val="000000"/>
              </w:rPr>
              <w:t>feedback.                                                                                                        -Interns</w:t>
            </w:r>
            <w:r w:rsidR="00160AD2">
              <w:rPr>
                <w:rFonts w:eastAsia="Times New Roman"/>
                <w:color w:val="000000"/>
              </w:rPr>
              <w:t>hip opportunities emerged from S</w:t>
            </w:r>
            <w:r w:rsidRPr="00C4108C">
              <w:rPr>
                <w:rFonts w:eastAsia="Times New Roman"/>
                <w:color w:val="000000"/>
              </w:rPr>
              <w:t>ummit participants, and advisory board formed.                                                                                  -Program approval gained through NVCC CEAC and CSCU BOR.</w:t>
            </w:r>
            <w:r w:rsidRPr="00C4108C">
              <w:rPr>
                <w:rFonts w:eastAsia="Times New Roman"/>
                <w:color w:val="000000"/>
              </w:rPr>
              <w:br/>
              <w:t xml:space="preserve">-New program offered to students Fall 2016. Eleven new students enrolled.                        </w:t>
            </w:r>
          </w:p>
        </w:tc>
      </w:tr>
      <w:tr w:rsidR="003C1AB9" w:rsidRPr="003C1AB9" w:rsidTr="005F50F5">
        <w:trPr>
          <w:trHeight w:val="243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D2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Aug</w:t>
            </w:r>
            <w:r w:rsidR="00160AD2">
              <w:rPr>
                <w:rFonts w:eastAsia="Times New Roman"/>
                <w:color w:val="000000"/>
              </w:rPr>
              <w:t>ust</w:t>
            </w:r>
          </w:p>
          <w:p w:rsidR="00C4108C" w:rsidRPr="00C4108C" w:rsidRDefault="003C1AB9" w:rsidP="00160AD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C4108C" w:rsidRPr="00C4108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36C" w:rsidRDefault="00A3436C" w:rsidP="00A3436C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Allied </w:t>
            </w:r>
          </w:p>
          <w:p w:rsidR="00C4108C" w:rsidRPr="00C4108C" w:rsidRDefault="00A3436C" w:rsidP="00A3436C">
            <w:pPr>
              <w:jc w:val="center"/>
              <w:rPr>
                <w:rFonts w:eastAsia="Times New Roman"/>
              </w:rPr>
            </w:pPr>
            <w:r w:rsidRPr="00C4108C">
              <w:rPr>
                <w:rFonts w:eastAsia="Times New Roman"/>
                <w:color w:val="000000"/>
              </w:rPr>
              <w:t>Health</w:t>
            </w:r>
            <w: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3D5B2A" w:rsidP="00160AD2">
            <w:pPr>
              <w:jc w:val="center"/>
              <w:rPr>
                <w:rFonts w:eastAsia="Times New Roman"/>
                <w:color w:val="000000"/>
              </w:rPr>
            </w:pPr>
            <w:hyperlink r:id="rId10" w:history="1">
              <w:r w:rsidR="00A3436C" w:rsidRPr="003C1AB9">
                <w:rPr>
                  <w:rFonts w:eastAsia="Times New Roman"/>
                </w:rPr>
                <w:t>Surgical Technology</w:t>
              </w:r>
            </w:hyperlink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F467E5">
            <w:pPr>
              <w:tabs>
                <w:tab w:val="left" w:pos="521"/>
              </w:tabs>
              <w:ind w:left="138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• Saint Mary's </w:t>
            </w:r>
            <w:r w:rsidR="00160AD2">
              <w:rPr>
                <w:rFonts w:eastAsia="Times New Roman"/>
                <w:color w:val="000000"/>
              </w:rPr>
              <w:t xml:space="preserve">        </w:t>
            </w:r>
            <w:r w:rsidR="00160AD2">
              <w:rPr>
                <w:rFonts w:eastAsia="Times New Roman"/>
                <w:color w:val="000000"/>
              </w:rPr>
              <w:tab/>
            </w:r>
            <w:r w:rsidRPr="00C4108C">
              <w:rPr>
                <w:rFonts w:eastAsia="Times New Roman"/>
                <w:color w:val="000000"/>
              </w:rPr>
              <w:t>Hospital</w:t>
            </w:r>
            <w:r w:rsidRPr="00C4108C">
              <w:rPr>
                <w:rFonts w:eastAsia="Times New Roman"/>
                <w:color w:val="000000"/>
              </w:rPr>
              <w:br/>
              <w:t xml:space="preserve">• Waterbury </w:t>
            </w:r>
            <w:r w:rsidR="00160AD2">
              <w:rPr>
                <w:rFonts w:eastAsia="Times New Roman"/>
                <w:color w:val="000000"/>
              </w:rPr>
              <w:tab/>
            </w:r>
            <w:r w:rsidRPr="00C4108C">
              <w:rPr>
                <w:rFonts w:eastAsia="Times New Roman"/>
                <w:color w:val="000000"/>
              </w:rPr>
              <w:t>Hospital</w:t>
            </w:r>
            <w:r w:rsidRPr="00C4108C">
              <w:rPr>
                <w:rFonts w:eastAsia="Times New Roman"/>
                <w:color w:val="000000"/>
              </w:rPr>
              <w:br/>
              <w:t>• Griffin Hospital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F467E5">
            <w:pPr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-Development of a new </w:t>
            </w:r>
            <w:r w:rsidRPr="00F467E5">
              <w:rPr>
                <w:rFonts w:eastAsia="Times New Roman"/>
                <w:b/>
                <w:color w:val="000000"/>
              </w:rPr>
              <w:t>Surgical Technology</w:t>
            </w:r>
            <w:r w:rsidRPr="00C4108C">
              <w:rPr>
                <w:rFonts w:eastAsia="Times New Roman"/>
                <w:color w:val="000000"/>
              </w:rPr>
              <w:t xml:space="preserve"> associate degree program proposal.                                                                                                       -Program proposal r</w:t>
            </w:r>
            <w:r w:rsidR="00F467E5">
              <w:rPr>
                <w:rFonts w:eastAsia="Times New Roman"/>
                <w:color w:val="000000"/>
              </w:rPr>
              <w:t>evised upon Summit</w:t>
            </w:r>
            <w:r w:rsidRPr="00C4108C">
              <w:rPr>
                <w:rFonts w:eastAsia="Times New Roman"/>
                <w:color w:val="000000"/>
              </w:rPr>
              <w:t xml:space="preserve"> feedback.                                                                                                       -Ad</w:t>
            </w:r>
            <w:r w:rsidR="00F467E5">
              <w:rPr>
                <w:rFonts w:eastAsia="Times New Roman"/>
                <w:color w:val="000000"/>
              </w:rPr>
              <w:t>visory board formed to include S</w:t>
            </w:r>
            <w:r w:rsidRPr="00C4108C">
              <w:rPr>
                <w:rFonts w:eastAsia="Times New Roman"/>
                <w:color w:val="000000"/>
              </w:rPr>
              <w:t xml:space="preserve">ummit participants.                                                                        -Program approval gained through NVCC CEAC and CSCU BOR held in abeyance until credits can be reduced to </w:t>
            </w:r>
            <w:r w:rsidR="00F467E5">
              <w:rPr>
                <w:rFonts w:eastAsia="Times New Roman"/>
                <w:color w:val="000000"/>
              </w:rPr>
              <w:t>normalization level.</w:t>
            </w:r>
            <w:r w:rsidR="00F467E5">
              <w:rPr>
                <w:rFonts w:eastAsia="Times New Roman"/>
                <w:color w:val="000000"/>
              </w:rPr>
              <w:br/>
              <w:t>-Target: Academic Year</w:t>
            </w:r>
            <w:r w:rsidRPr="00C4108C">
              <w:rPr>
                <w:rFonts w:eastAsia="Times New Roman"/>
                <w:color w:val="000000"/>
              </w:rPr>
              <w:t xml:space="preserve"> 2017-18                                                                                    </w:t>
            </w:r>
          </w:p>
        </w:tc>
      </w:tr>
      <w:tr w:rsidR="003C1AB9" w:rsidRPr="003C1AB9" w:rsidTr="005F50F5">
        <w:trPr>
          <w:trHeight w:val="213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D2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Mar</w:t>
            </w:r>
            <w:r w:rsidR="00160AD2">
              <w:rPr>
                <w:rFonts w:eastAsia="Times New Roman"/>
                <w:color w:val="000000"/>
              </w:rPr>
              <w:t>ch</w:t>
            </w:r>
          </w:p>
          <w:p w:rsidR="00C4108C" w:rsidRPr="00C4108C" w:rsidRDefault="003C1AB9" w:rsidP="00160AD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C4108C" w:rsidRPr="00C4108C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3D5B2A" w:rsidP="00160AD2">
            <w:pPr>
              <w:jc w:val="center"/>
              <w:rPr>
                <w:rFonts w:eastAsia="Times New Roman"/>
              </w:rPr>
            </w:pPr>
            <w:hyperlink r:id="rId11" w:anchor="3616329-degree-programs" w:history="1">
              <w:r w:rsidR="00C4108C" w:rsidRPr="003C1AB9">
                <w:rPr>
                  <w:rFonts w:eastAsia="Times New Roman"/>
                </w:rPr>
                <w:t>Bioscience</w:t>
              </w:r>
            </w:hyperlink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Bioscience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F467E5">
            <w:pPr>
              <w:tabs>
                <w:tab w:val="left" w:pos="530"/>
              </w:tabs>
              <w:ind w:left="138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• Jackson Labs</w:t>
            </w:r>
            <w:r w:rsidRPr="00C4108C">
              <w:rPr>
                <w:rFonts w:eastAsia="Times New Roman"/>
                <w:color w:val="000000"/>
              </w:rPr>
              <w:br/>
              <w:t>• CURE</w:t>
            </w:r>
            <w:r w:rsidRPr="00C4108C">
              <w:rPr>
                <w:rFonts w:eastAsia="Times New Roman"/>
                <w:color w:val="000000"/>
              </w:rPr>
              <w:br/>
              <w:t>• CCSU</w:t>
            </w:r>
            <w:r w:rsidRPr="00C4108C">
              <w:rPr>
                <w:rFonts w:eastAsia="Times New Roman"/>
                <w:color w:val="000000"/>
              </w:rPr>
              <w:br/>
              <w:t xml:space="preserve">• Bristol-Meyers </w:t>
            </w:r>
            <w:r w:rsidR="00160AD2">
              <w:rPr>
                <w:rFonts w:eastAsia="Times New Roman"/>
                <w:color w:val="000000"/>
              </w:rPr>
              <w:tab/>
            </w:r>
            <w:r w:rsidRPr="00C4108C">
              <w:rPr>
                <w:rFonts w:eastAsia="Times New Roman"/>
                <w:color w:val="000000"/>
              </w:rPr>
              <w:t>Squibb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C4108C">
            <w:pPr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-Development of a new </w:t>
            </w:r>
            <w:r w:rsidRPr="00F467E5">
              <w:rPr>
                <w:rFonts w:eastAsia="Times New Roman"/>
                <w:b/>
                <w:color w:val="000000"/>
              </w:rPr>
              <w:t>Bioscience Technology</w:t>
            </w:r>
            <w:r w:rsidRPr="00C4108C">
              <w:rPr>
                <w:rFonts w:eastAsia="Times New Roman"/>
                <w:color w:val="000000"/>
              </w:rPr>
              <w:t xml:space="preserve"> associate degree program proposal.                                                                                                                                                                                        -Program proposal re</w:t>
            </w:r>
            <w:r w:rsidR="00F467E5">
              <w:rPr>
                <w:rFonts w:eastAsia="Times New Roman"/>
                <w:color w:val="000000"/>
              </w:rPr>
              <w:t xml:space="preserve">vised upon Summit </w:t>
            </w:r>
            <w:r w:rsidRPr="00C4108C">
              <w:rPr>
                <w:rFonts w:eastAsia="Times New Roman"/>
                <w:color w:val="000000"/>
              </w:rPr>
              <w:t>feedback.                                                                                                                                                                                                                                -Ad</w:t>
            </w:r>
            <w:r w:rsidR="00F467E5">
              <w:rPr>
                <w:rFonts w:eastAsia="Times New Roman"/>
                <w:color w:val="000000"/>
              </w:rPr>
              <w:t>visory board formed to include S</w:t>
            </w:r>
            <w:r w:rsidRPr="00C4108C">
              <w:rPr>
                <w:rFonts w:eastAsia="Times New Roman"/>
                <w:color w:val="000000"/>
              </w:rPr>
              <w:t xml:space="preserve">ummit participants.                                                                                                     -Program approval gained through NVCC CEAC.                                                                                         -Proposal held in abeyance due to high cost of equipment </w:t>
            </w:r>
          </w:p>
        </w:tc>
      </w:tr>
      <w:tr w:rsidR="003C1AB9" w:rsidRPr="003C1AB9" w:rsidTr="005F50F5">
        <w:trPr>
          <w:trHeight w:val="14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Nov</w:t>
            </w:r>
            <w:r w:rsidR="00160AD2">
              <w:rPr>
                <w:rFonts w:eastAsia="Times New Roman"/>
                <w:color w:val="000000"/>
              </w:rPr>
              <w:t>ember</w:t>
            </w:r>
            <w:r w:rsidR="003C1AB9">
              <w:rPr>
                <w:rFonts w:eastAsia="Times New Roman"/>
                <w:color w:val="000000"/>
              </w:rPr>
              <w:t xml:space="preserve"> 20</w:t>
            </w:r>
            <w:r w:rsidRPr="00C4108C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3D5B2A" w:rsidP="00160AD2">
            <w:pPr>
              <w:jc w:val="center"/>
              <w:rPr>
                <w:rFonts w:eastAsia="Times New Roman"/>
              </w:rPr>
            </w:pPr>
            <w:hyperlink r:id="rId12" w:anchor="4096451-bbusiness-financebbr-degree-requirements-and-outcomes-what-you-will-learn" w:history="1">
              <w:r w:rsidR="00C4108C" w:rsidRPr="003C1AB9">
                <w:rPr>
                  <w:rFonts w:eastAsia="Times New Roman"/>
                </w:rPr>
                <w:t>Financial Services</w:t>
              </w:r>
            </w:hyperlink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Financial Services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1A13A4" w:rsidP="00F467E5">
            <w:pPr>
              <w:tabs>
                <w:tab w:val="left" w:pos="513"/>
              </w:tabs>
              <w:ind w:left="13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New</w:t>
            </w:r>
            <w:r w:rsidR="00C4108C" w:rsidRPr="00C4108C">
              <w:rPr>
                <w:rFonts w:eastAsia="Times New Roman"/>
                <w:color w:val="000000"/>
              </w:rPr>
              <w:t xml:space="preserve">Oak </w:t>
            </w:r>
            <w:r w:rsidR="00160AD2">
              <w:rPr>
                <w:rFonts w:eastAsia="Times New Roman"/>
                <w:color w:val="000000"/>
              </w:rPr>
              <w:t xml:space="preserve">      </w:t>
            </w:r>
            <w:r w:rsidR="00F467E5">
              <w:rPr>
                <w:rFonts w:eastAsia="Times New Roman"/>
                <w:color w:val="000000"/>
              </w:rPr>
              <w:t xml:space="preserve">          </w:t>
            </w:r>
            <w:r w:rsidR="00F467E5">
              <w:rPr>
                <w:rFonts w:eastAsia="Times New Roman"/>
                <w:color w:val="000000"/>
              </w:rPr>
              <w:tab/>
            </w:r>
            <w:r w:rsidR="00C4108C" w:rsidRPr="00C4108C">
              <w:rPr>
                <w:rFonts w:eastAsia="Times New Roman"/>
                <w:color w:val="000000"/>
              </w:rPr>
              <w:t>Financial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C4108C">
            <w:pPr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-Changes made to </w:t>
            </w:r>
            <w:r w:rsidRPr="00F467E5">
              <w:rPr>
                <w:rFonts w:eastAsia="Times New Roman"/>
                <w:b/>
                <w:color w:val="000000"/>
              </w:rPr>
              <w:t>Business Finance</w:t>
            </w:r>
            <w:r w:rsidRPr="00C4108C">
              <w:rPr>
                <w:rFonts w:eastAsia="Times New Roman"/>
                <w:color w:val="000000"/>
              </w:rPr>
              <w:t xml:space="preserve"> curriculum to be more industry relevant and to meet the needs of local industry employers.                                                                                                                                              -Ad</w:t>
            </w:r>
            <w:r w:rsidR="00F467E5">
              <w:rPr>
                <w:rFonts w:eastAsia="Times New Roman"/>
                <w:color w:val="000000"/>
              </w:rPr>
              <w:t>visory board formed to include S</w:t>
            </w:r>
            <w:r w:rsidRPr="00C4108C">
              <w:rPr>
                <w:rFonts w:eastAsia="Times New Roman"/>
                <w:color w:val="000000"/>
              </w:rPr>
              <w:t xml:space="preserve">ummit participants and internship opportunities identified.                                                                        </w:t>
            </w:r>
          </w:p>
        </w:tc>
      </w:tr>
      <w:tr w:rsidR="003C1AB9" w:rsidRPr="003C1AB9" w:rsidTr="005F50F5">
        <w:trPr>
          <w:trHeight w:val="21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D2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Apr</w:t>
            </w:r>
            <w:r w:rsidR="00160AD2">
              <w:rPr>
                <w:rFonts w:eastAsia="Times New Roman"/>
                <w:color w:val="000000"/>
              </w:rPr>
              <w:t>il</w:t>
            </w:r>
          </w:p>
          <w:p w:rsidR="00C4108C" w:rsidRPr="00C4108C" w:rsidRDefault="003C1AB9" w:rsidP="00160AD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C4108C" w:rsidRPr="00C4108C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A3436C" w:rsidP="00A3436C">
            <w:pPr>
              <w:jc w:val="center"/>
              <w:rPr>
                <w:rFonts w:eastAsia="Times New Roman"/>
              </w:rPr>
            </w:pPr>
            <w:r w:rsidRPr="00C4108C">
              <w:rPr>
                <w:rFonts w:eastAsia="Times New Roman"/>
                <w:color w:val="000000"/>
              </w:rPr>
              <w:t>Hospitality</w:t>
            </w:r>
            <w:r w:rsidRPr="00C4108C">
              <w:rPr>
                <w:rFonts w:eastAsia="Times New Roman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A3436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</w:rPr>
              <w:t xml:space="preserve">Hospitality and </w:t>
            </w:r>
            <w:r w:rsidRPr="00C4108C">
              <w:rPr>
                <w:rFonts w:eastAsia="Times New Roman"/>
              </w:rPr>
              <w:br/>
              <w:t>Horticulture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D2" w:rsidRDefault="00C4108C" w:rsidP="00160AD2">
            <w:pPr>
              <w:ind w:left="138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• DT Media</w:t>
            </w:r>
            <w:r w:rsidRPr="00C4108C">
              <w:rPr>
                <w:rFonts w:eastAsia="Times New Roman"/>
                <w:color w:val="000000"/>
              </w:rPr>
              <w:br/>
              <w:t>• Natureworks</w:t>
            </w:r>
            <w:r w:rsidRPr="00C4108C">
              <w:rPr>
                <w:rFonts w:eastAsia="Times New Roman"/>
                <w:color w:val="000000"/>
              </w:rPr>
              <w:br/>
              <w:t xml:space="preserve">• Nonnewaug </w:t>
            </w:r>
            <w:r w:rsidR="004B25CF">
              <w:rPr>
                <w:rFonts w:eastAsia="Times New Roman"/>
                <w:color w:val="000000"/>
              </w:rPr>
              <w:t xml:space="preserve">  </w:t>
            </w:r>
          </w:p>
          <w:p w:rsidR="00C4108C" w:rsidRPr="00C4108C" w:rsidRDefault="00160AD2" w:rsidP="00160AD2">
            <w:pPr>
              <w:ind w:left="13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</w:t>
            </w:r>
            <w:r w:rsidR="00C4108C" w:rsidRPr="00C4108C">
              <w:rPr>
                <w:rFonts w:eastAsia="Times New Roman"/>
                <w:color w:val="000000"/>
              </w:rPr>
              <w:t>High School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F467E5">
            <w:pPr>
              <w:tabs>
                <w:tab w:val="left" w:pos="3402"/>
                <w:tab w:val="left" w:pos="4122"/>
              </w:tabs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-Development of a new </w:t>
            </w:r>
            <w:r w:rsidRPr="00F467E5">
              <w:rPr>
                <w:rFonts w:eastAsia="Times New Roman"/>
                <w:b/>
                <w:color w:val="000000"/>
              </w:rPr>
              <w:t>Sustainable Food Systems</w:t>
            </w:r>
            <w:r w:rsidRPr="00C4108C">
              <w:rPr>
                <w:rFonts w:eastAsia="Times New Roman"/>
                <w:color w:val="000000"/>
              </w:rPr>
              <w:t xml:space="preserve"> associate degree program proposal.                                                                                        -Program proposal revised upon Summit feedback.                                                                                                                                 -Ad</w:t>
            </w:r>
            <w:r w:rsidR="00F467E5">
              <w:rPr>
                <w:rFonts w:eastAsia="Times New Roman"/>
                <w:color w:val="000000"/>
              </w:rPr>
              <w:t>visory board formed to include S</w:t>
            </w:r>
            <w:r w:rsidRPr="00C4108C">
              <w:rPr>
                <w:rFonts w:eastAsia="Times New Roman"/>
                <w:color w:val="000000"/>
              </w:rPr>
              <w:t>ummit participants</w:t>
            </w:r>
            <w:r w:rsidRPr="00C4108C">
              <w:rPr>
                <w:rFonts w:eastAsia="Times New Roman"/>
                <w:color w:val="000000"/>
              </w:rPr>
              <w:br/>
              <w:t xml:space="preserve">-Approval through NVCC </w:t>
            </w:r>
            <w:r w:rsidR="00F467E5">
              <w:rPr>
                <w:rFonts w:eastAsia="Times New Roman"/>
                <w:color w:val="000000"/>
              </w:rPr>
              <w:t xml:space="preserve">CEAC and CSCU BOR will begin Academic Year </w:t>
            </w:r>
            <w:r w:rsidRPr="00C4108C">
              <w:rPr>
                <w:rFonts w:eastAsia="Times New Roman"/>
                <w:color w:val="000000"/>
              </w:rPr>
              <w:t>2017-18.</w:t>
            </w:r>
          </w:p>
        </w:tc>
      </w:tr>
      <w:tr w:rsidR="003C1AB9" w:rsidRPr="003C1AB9" w:rsidTr="005F50F5"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AD2" w:rsidRDefault="00160AD2" w:rsidP="00160AD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October</w:t>
            </w:r>
          </w:p>
          <w:p w:rsidR="00C4108C" w:rsidRPr="00C4108C" w:rsidRDefault="003C1AB9" w:rsidP="00160AD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2017 - </w:t>
            </w:r>
            <w:r w:rsidR="00C4108C" w:rsidRPr="00C4108C">
              <w:rPr>
                <w:rFonts w:eastAsia="Times New Roman"/>
                <w:color w:val="000000"/>
              </w:rPr>
              <w:t>TBD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Energy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8C" w:rsidRPr="00C4108C" w:rsidRDefault="00C4108C" w:rsidP="00160AD2">
            <w:pPr>
              <w:jc w:val="center"/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Energy</w:t>
            </w:r>
            <w:r w:rsidRPr="00C4108C">
              <w:rPr>
                <w:rFonts w:eastAsia="Times New Roman"/>
                <w:color w:val="000000"/>
              </w:rPr>
              <w:br/>
              <w:t>Natural Gas</w:t>
            </w:r>
            <w:r w:rsidRPr="00C4108C">
              <w:rPr>
                <w:rFonts w:eastAsia="Times New Roman"/>
                <w:color w:val="000000"/>
              </w:rPr>
              <w:br/>
              <w:t>Electric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C4108C" w:rsidP="00C4108C">
            <w:pPr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8C" w:rsidRPr="00C4108C" w:rsidRDefault="00C4108C" w:rsidP="00C4108C">
            <w:pPr>
              <w:rPr>
                <w:rFonts w:eastAsia="Times New Roman"/>
                <w:color w:val="000000"/>
              </w:rPr>
            </w:pPr>
            <w:r w:rsidRPr="00C4108C">
              <w:rPr>
                <w:rFonts w:eastAsia="Times New Roman"/>
                <w:color w:val="000000"/>
              </w:rPr>
              <w:t xml:space="preserve">-New program opportunities currently being considered.   </w:t>
            </w:r>
          </w:p>
        </w:tc>
      </w:tr>
    </w:tbl>
    <w:p w:rsidR="00C4108C" w:rsidRDefault="00C4108C" w:rsidP="007D1F5B">
      <w:pPr>
        <w:autoSpaceDE w:val="0"/>
        <w:autoSpaceDN w:val="0"/>
        <w:adjustRightInd w:val="0"/>
      </w:pPr>
    </w:p>
    <w:p w:rsidR="003E7E16" w:rsidRDefault="003E7E16" w:rsidP="007D1F5B">
      <w:pPr>
        <w:autoSpaceDE w:val="0"/>
        <w:autoSpaceDN w:val="0"/>
        <w:adjustRightInd w:val="0"/>
      </w:pPr>
    </w:p>
    <w:p w:rsidR="003E7E16" w:rsidRDefault="003E7E16" w:rsidP="007D1F5B">
      <w:pPr>
        <w:autoSpaceDE w:val="0"/>
        <w:autoSpaceDN w:val="0"/>
        <w:adjustRightInd w:val="0"/>
      </w:pPr>
    </w:p>
    <w:p w:rsidR="003E7E16" w:rsidRDefault="003E7E16" w:rsidP="007D1F5B">
      <w:pPr>
        <w:autoSpaceDE w:val="0"/>
        <w:autoSpaceDN w:val="0"/>
        <w:adjustRightInd w:val="0"/>
      </w:pPr>
    </w:p>
    <w:p w:rsidR="003E7E16" w:rsidRPr="003C1AB9" w:rsidRDefault="003E7E16" w:rsidP="007D1F5B">
      <w:pPr>
        <w:autoSpaceDE w:val="0"/>
        <w:autoSpaceDN w:val="0"/>
        <w:adjustRightInd w:val="0"/>
      </w:pPr>
      <w:r w:rsidRPr="00D71693">
        <w:rPr>
          <w:noProof/>
        </w:rPr>
        <w:drawing>
          <wp:inline distT="0" distB="0" distL="0" distR="0" wp14:anchorId="6ACF5263" wp14:editId="2E987EFA">
            <wp:extent cx="6426669" cy="5202186"/>
            <wp:effectExtent l="0" t="0" r="0" b="0"/>
            <wp:docPr id="2" name="Picture 2" descr="C:\Users\01670813\AppData\Local\Microsoft\Windows\Temporary Internet Files\Content.Outlook\ESL4HRAV\7Sector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670813\AppData\Local\Microsoft\Windows\Temporary Internet Files\Content.Outlook\ESL4HRAV\7SectorM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16" cy="52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E16" w:rsidRPr="003C1AB9" w:rsidSect="004F3604">
      <w:footerReference w:type="default" r:id="rId14"/>
      <w:pgSz w:w="12240" w:h="15840"/>
      <w:pgMar w:top="450" w:right="720" w:bottom="5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2A" w:rsidRDefault="003D5B2A" w:rsidP="006257E5">
      <w:r>
        <w:separator/>
      </w:r>
    </w:p>
  </w:endnote>
  <w:endnote w:type="continuationSeparator" w:id="0">
    <w:p w:rsidR="003D5B2A" w:rsidRDefault="003D5B2A" w:rsidP="006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5" w:rsidRDefault="00A0021A" w:rsidP="00A0021A">
    <w:pPr>
      <w:pStyle w:val="Footer"/>
    </w:pPr>
    <w:r>
      <w:tab/>
    </w:r>
    <w:r>
      <w:tab/>
      <w:t xml:space="preserve">                          </w:t>
    </w:r>
  </w:p>
  <w:p w:rsidR="006257E5" w:rsidRDefault="00625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2A" w:rsidRDefault="003D5B2A" w:rsidP="006257E5">
      <w:r>
        <w:separator/>
      </w:r>
    </w:p>
  </w:footnote>
  <w:footnote w:type="continuationSeparator" w:id="0">
    <w:p w:rsidR="003D5B2A" w:rsidRDefault="003D5B2A" w:rsidP="006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DCD"/>
    <w:multiLevelType w:val="hybridMultilevel"/>
    <w:tmpl w:val="12DCE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2"/>
    <w:rsid w:val="0000016C"/>
    <w:rsid w:val="00000711"/>
    <w:rsid w:val="00001395"/>
    <w:rsid w:val="00003331"/>
    <w:rsid w:val="00003E78"/>
    <w:rsid w:val="00005DA8"/>
    <w:rsid w:val="00010242"/>
    <w:rsid w:val="000125C5"/>
    <w:rsid w:val="00015B47"/>
    <w:rsid w:val="00015CC0"/>
    <w:rsid w:val="00024BE7"/>
    <w:rsid w:val="00025427"/>
    <w:rsid w:val="00027DCF"/>
    <w:rsid w:val="00034048"/>
    <w:rsid w:val="0003797B"/>
    <w:rsid w:val="00040E25"/>
    <w:rsid w:val="00042331"/>
    <w:rsid w:val="00042FB1"/>
    <w:rsid w:val="000507B0"/>
    <w:rsid w:val="0005358F"/>
    <w:rsid w:val="0005565B"/>
    <w:rsid w:val="000559D9"/>
    <w:rsid w:val="000570D0"/>
    <w:rsid w:val="0006029A"/>
    <w:rsid w:val="00062FD5"/>
    <w:rsid w:val="000633CF"/>
    <w:rsid w:val="000702FB"/>
    <w:rsid w:val="000727FE"/>
    <w:rsid w:val="0007625B"/>
    <w:rsid w:val="000802A0"/>
    <w:rsid w:val="00081004"/>
    <w:rsid w:val="00081B82"/>
    <w:rsid w:val="00082655"/>
    <w:rsid w:val="00084922"/>
    <w:rsid w:val="000857A5"/>
    <w:rsid w:val="00085D2F"/>
    <w:rsid w:val="000910BF"/>
    <w:rsid w:val="000914D7"/>
    <w:rsid w:val="00093A89"/>
    <w:rsid w:val="00095CBF"/>
    <w:rsid w:val="00095D8D"/>
    <w:rsid w:val="000973E1"/>
    <w:rsid w:val="000A6ECD"/>
    <w:rsid w:val="000B25FD"/>
    <w:rsid w:val="000B3038"/>
    <w:rsid w:val="000B60E3"/>
    <w:rsid w:val="000B6AEC"/>
    <w:rsid w:val="000B7EDC"/>
    <w:rsid w:val="000C5768"/>
    <w:rsid w:val="000C6495"/>
    <w:rsid w:val="000D04FC"/>
    <w:rsid w:val="000D239B"/>
    <w:rsid w:val="000D67B9"/>
    <w:rsid w:val="000E0506"/>
    <w:rsid w:val="000E2050"/>
    <w:rsid w:val="000E2207"/>
    <w:rsid w:val="000E3F7B"/>
    <w:rsid w:val="000E7093"/>
    <w:rsid w:val="000F15E1"/>
    <w:rsid w:val="000F27DD"/>
    <w:rsid w:val="000F3D59"/>
    <w:rsid w:val="000F4417"/>
    <w:rsid w:val="000F6458"/>
    <w:rsid w:val="000F7EB2"/>
    <w:rsid w:val="00104202"/>
    <w:rsid w:val="00106DA4"/>
    <w:rsid w:val="001102D2"/>
    <w:rsid w:val="00110DE3"/>
    <w:rsid w:val="00114B2A"/>
    <w:rsid w:val="001201D9"/>
    <w:rsid w:val="00120354"/>
    <w:rsid w:val="0012198B"/>
    <w:rsid w:val="00127621"/>
    <w:rsid w:val="00127639"/>
    <w:rsid w:val="001306E6"/>
    <w:rsid w:val="00131E76"/>
    <w:rsid w:val="001326C8"/>
    <w:rsid w:val="00132EC4"/>
    <w:rsid w:val="001334DC"/>
    <w:rsid w:val="001343B2"/>
    <w:rsid w:val="001365C0"/>
    <w:rsid w:val="001372DA"/>
    <w:rsid w:val="00142D72"/>
    <w:rsid w:val="00146553"/>
    <w:rsid w:val="0014774D"/>
    <w:rsid w:val="00147B78"/>
    <w:rsid w:val="001508C8"/>
    <w:rsid w:val="00152829"/>
    <w:rsid w:val="001536CE"/>
    <w:rsid w:val="001537E4"/>
    <w:rsid w:val="00153B32"/>
    <w:rsid w:val="001553FC"/>
    <w:rsid w:val="00160AD2"/>
    <w:rsid w:val="00170071"/>
    <w:rsid w:val="0017547C"/>
    <w:rsid w:val="001761CA"/>
    <w:rsid w:val="00182542"/>
    <w:rsid w:val="00187623"/>
    <w:rsid w:val="00187C56"/>
    <w:rsid w:val="001907D5"/>
    <w:rsid w:val="0019435E"/>
    <w:rsid w:val="00197227"/>
    <w:rsid w:val="00197376"/>
    <w:rsid w:val="001A13A4"/>
    <w:rsid w:val="001A2D04"/>
    <w:rsid w:val="001A3060"/>
    <w:rsid w:val="001B27D4"/>
    <w:rsid w:val="001B3E4D"/>
    <w:rsid w:val="001B6FA2"/>
    <w:rsid w:val="001B7E55"/>
    <w:rsid w:val="001B7F4C"/>
    <w:rsid w:val="001C0F1A"/>
    <w:rsid w:val="001C3C9F"/>
    <w:rsid w:val="001C4B4E"/>
    <w:rsid w:val="001C7E72"/>
    <w:rsid w:val="001D10D8"/>
    <w:rsid w:val="001D289A"/>
    <w:rsid w:val="001D4A70"/>
    <w:rsid w:val="001D667A"/>
    <w:rsid w:val="001E035B"/>
    <w:rsid w:val="001E1D8B"/>
    <w:rsid w:val="001E352D"/>
    <w:rsid w:val="001E4B58"/>
    <w:rsid w:val="001E7F11"/>
    <w:rsid w:val="001F0774"/>
    <w:rsid w:val="001F1906"/>
    <w:rsid w:val="001F58D4"/>
    <w:rsid w:val="001F6089"/>
    <w:rsid w:val="00200DC4"/>
    <w:rsid w:val="00201F8C"/>
    <w:rsid w:val="00202BA2"/>
    <w:rsid w:val="0021030C"/>
    <w:rsid w:val="0021036F"/>
    <w:rsid w:val="00212ED4"/>
    <w:rsid w:val="0021457B"/>
    <w:rsid w:val="00216D5D"/>
    <w:rsid w:val="0021780B"/>
    <w:rsid w:val="002178B1"/>
    <w:rsid w:val="00222BED"/>
    <w:rsid w:val="0022349C"/>
    <w:rsid w:val="00223C71"/>
    <w:rsid w:val="00226ED5"/>
    <w:rsid w:val="00234408"/>
    <w:rsid w:val="00235957"/>
    <w:rsid w:val="00236401"/>
    <w:rsid w:val="002373D5"/>
    <w:rsid w:val="00237D03"/>
    <w:rsid w:val="00237EEC"/>
    <w:rsid w:val="00237FCB"/>
    <w:rsid w:val="00245107"/>
    <w:rsid w:val="00245CC8"/>
    <w:rsid w:val="00251711"/>
    <w:rsid w:val="00255FA4"/>
    <w:rsid w:val="00257BF9"/>
    <w:rsid w:val="00257C7A"/>
    <w:rsid w:val="002605BA"/>
    <w:rsid w:val="00260D2A"/>
    <w:rsid w:val="002649FA"/>
    <w:rsid w:val="00270867"/>
    <w:rsid w:val="00275755"/>
    <w:rsid w:val="00276D32"/>
    <w:rsid w:val="00280A0F"/>
    <w:rsid w:val="002815DC"/>
    <w:rsid w:val="00287F45"/>
    <w:rsid w:val="00290199"/>
    <w:rsid w:val="00294579"/>
    <w:rsid w:val="00294B86"/>
    <w:rsid w:val="002A2B1A"/>
    <w:rsid w:val="002C1357"/>
    <w:rsid w:val="002C3BB6"/>
    <w:rsid w:val="002C7810"/>
    <w:rsid w:val="002D24CC"/>
    <w:rsid w:val="002D439D"/>
    <w:rsid w:val="002D4EC5"/>
    <w:rsid w:val="002E22C2"/>
    <w:rsid w:val="002E345F"/>
    <w:rsid w:val="002E4571"/>
    <w:rsid w:val="002F2C5A"/>
    <w:rsid w:val="002F3E49"/>
    <w:rsid w:val="002F4EC8"/>
    <w:rsid w:val="00301C23"/>
    <w:rsid w:val="00302839"/>
    <w:rsid w:val="00302DDF"/>
    <w:rsid w:val="00303FE4"/>
    <w:rsid w:val="00305205"/>
    <w:rsid w:val="003053EF"/>
    <w:rsid w:val="00306716"/>
    <w:rsid w:val="00307795"/>
    <w:rsid w:val="003108BE"/>
    <w:rsid w:val="00314F79"/>
    <w:rsid w:val="0032080E"/>
    <w:rsid w:val="00321E60"/>
    <w:rsid w:val="00322559"/>
    <w:rsid w:val="0032508C"/>
    <w:rsid w:val="00336620"/>
    <w:rsid w:val="00340F33"/>
    <w:rsid w:val="00341A3F"/>
    <w:rsid w:val="00342E93"/>
    <w:rsid w:val="0034372C"/>
    <w:rsid w:val="00345D09"/>
    <w:rsid w:val="003509FF"/>
    <w:rsid w:val="003568F4"/>
    <w:rsid w:val="003619A6"/>
    <w:rsid w:val="0036431B"/>
    <w:rsid w:val="00365573"/>
    <w:rsid w:val="00367C40"/>
    <w:rsid w:val="00367CFB"/>
    <w:rsid w:val="0037015E"/>
    <w:rsid w:val="00371A67"/>
    <w:rsid w:val="003722B9"/>
    <w:rsid w:val="0037291A"/>
    <w:rsid w:val="00374E5B"/>
    <w:rsid w:val="0038261F"/>
    <w:rsid w:val="00386E6A"/>
    <w:rsid w:val="003901FA"/>
    <w:rsid w:val="003942F6"/>
    <w:rsid w:val="00396B09"/>
    <w:rsid w:val="003A189B"/>
    <w:rsid w:val="003A2192"/>
    <w:rsid w:val="003B1974"/>
    <w:rsid w:val="003B37F4"/>
    <w:rsid w:val="003B48B1"/>
    <w:rsid w:val="003B5083"/>
    <w:rsid w:val="003B6F2D"/>
    <w:rsid w:val="003C186B"/>
    <w:rsid w:val="003C1AB9"/>
    <w:rsid w:val="003C2535"/>
    <w:rsid w:val="003C4223"/>
    <w:rsid w:val="003C5435"/>
    <w:rsid w:val="003C59CC"/>
    <w:rsid w:val="003D0447"/>
    <w:rsid w:val="003D0DD2"/>
    <w:rsid w:val="003D2569"/>
    <w:rsid w:val="003D5B2A"/>
    <w:rsid w:val="003E7E16"/>
    <w:rsid w:val="003F0C9C"/>
    <w:rsid w:val="003F2BAC"/>
    <w:rsid w:val="0040160C"/>
    <w:rsid w:val="00401684"/>
    <w:rsid w:val="0040316D"/>
    <w:rsid w:val="00403228"/>
    <w:rsid w:val="00405020"/>
    <w:rsid w:val="0040505B"/>
    <w:rsid w:val="00407F1C"/>
    <w:rsid w:val="00412CF9"/>
    <w:rsid w:val="00421688"/>
    <w:rsid w:val="00422338"/>
    <w:rsid w:val="004235B7"/>
    <w:rsid w:val="00423778"/>
    <w:rsid w:val="00424C0C"/>
    <w:rsid w:val="00426968"/>
    <w:rsid w:val="00427621"/>
    <w:rsid w:val="0042776C"/>
    <w:rsid w:val="00427EF8"/>
    <w:rsid w:val="00432954"/>
    <w:rsid w:val="00434B54"/>
    <w:rsid w:val="00441AE6"/>
    <w:rsid w:val="00442C25"/>
    <w:rsid w:val="00442D15"/>
    <w:rsid w:val="004441ED"/>
    <w:rsid w:val="00451F00"/>
    <w:rsid w:val="004529E9"/>
    <w:rsid w:val="00453720"/>
    <w:rsid w:val="004579AF"/>
    <w:rsid w:val="00461C3D"/>
    <w:rsid w:val="00461D9D"/>
    <w:rsid w:val="004635C1"/>
    <w:rsid w:val="004654A6"/>
    <w:rsid w:val="0046687A"/>
    <w:rsid w:val="00466C95"/>
    <w:rsid w:val="00470603"/>
    <w:rsid w:val="00473B94"/>
    <w:rsid w:val="00474260"/>
    <w:rsid w:val="00474553"/>
    <w:rsid w:val="00480284"/>
    <w:rsid w:val="004866CD"/>
    <w:rsid w:val="00490117"/>
    <w:rsid w:val="00492D8D"/>
    <w:rsid w:val="004A08DF"/>
    <w:rsid w:val="004A1292"/>
    <w:rsid w:val="004B2535"/>
    <w:rsid w:val="004B25CF"/>
    <w:rsid w:val="004B4110"/>
    <w:rsid w:val="004B63C8"/>
    <w:rsid w:val="004C1133"/>
    <w:rsid w:val="004D060D"/>
    <w:rsid w:val="004D3C77"/>
    <w:rsid w:val="004D569A"/>
    <w:rsid w:val="004E48B0"/>
    <w:rsid w:val="004E548D"/>
    <w:rsid w:val="004E713E"/>
    <w:rsid w:val="004F0C0E"/>
    <w:rsid w:val="004F3604"/>
    <w:rsid w:val="004F3D61"/>
    <w:rsid w:val="004F5279"/>
    <w:rsid w:val="004F5ED3"/>
    <w:rsid w:val="00507B4B"/>
    <w:rsid w:val="005127E0"/>
    <w:rsid w:val="00520FE5"/>
    <w:rsid w:val="00521F4C"/>
    <w:rsid w:val="00525932"/>
    <w:rsid w:val="0052698A"/>
    <w:rsid w:val="00530C69"/>
    <w:rsid w:val="00532D56"/>
    <w:rsid w:val="00533AFA"/>
    <w:rsid w:val="00533B1E"/>
    <w:rsid w:val="00533B6F"/>
    <w:rsid w:val="005342FB"/>
    <w:rsid w:val="00537E4A"/>
    <w:rsid w:val="00540887"/>
    <w:rsid w:val="0054120D"/>
    <w:rsid w:val="00541A09"/>
    <w:rsid w:val="00541C2A"/>
    <w:rsid w:val="00542951"/>
    <w:rsid w:val="0054341A"/>
    <w:rsid w:val="00550D89"/>
    <w:rsid w:val="00556172"/>
    <w:rsid w:val="00563BAF"/>
    <w:rsid w:val="00564199"/>
    <w:rsid w:val="00566D93"/>
    <w:rsid w:val="00570B3B"/>
    <w:rsid w:val="00572A57"/>
    <w:rsid w:val="00576A33"/>
    <w:rsid w:val="00576CFE"/>
    <w:rsid w:val="00586855"/>
    <w:rsid w:val="00591750"/>
    <w:rsid w:val="005929FA"/>
    <w:rsid w:val="005933B7"/>
    <w:rsid w:val="005934FD"/>
    <w:rsid w:val="005944C7"/>
    <w:rsid w:val="005A1BD3"/>
    <w:rsid w:val="005A2505"/>
    <w:rsid w:val="005A4348"/>
    <w:rsid w:val="005A74E3"/>
    <w:rsid w:val="005B37A1"/>
    <w:rsid w:val="005C30C0"/>
    <w:rsid w:val="005C60A4"/>
    <w:rsid w:val="005C60AD"/>
    <w:rsid w:val="005C79EF"/>
    <w:rsid w:val="005D766F"/>
    <w:rsid w:val="005E23F6"/>
    <w:rsid w:val="005E2811"/>
    <w:rsid w:val="005E6379"/>
    <w:rsid w:val="005E74CE"/>
    <w:rsid w:val="005F2F2F"/>
    <w:rsid w:val="005F50F5"/>
    <w:rsid w:val="00600129"/>
    <w:rsid w:val="00601AAD"/>
    <w:rsid w:val="00601BD3"/>
    <w:rsid w:val="0060445C"/>
    <w:rsid w:val="00604DA8"/>
    <w:rsid w:val="0060548A"/>
    <w:rsid w:val="00607A02"/>
    <w:rsid w:val="00611E75"/>
    <w:rsid w:val="006123FA"/>
    <w:rsid w:val="00613159"/>
    <w:rsid w:val="00620197"/>
    <w:rsid w:val="0062394C"/>
    <w:rsid w:val="0062542C"/>
    <w:rsid w:val="006257E5"/>
    <w:rsid w:val="00630D5B"/>
    <w:rsid w:val="00634673"/>
    <w:rsid w:val="006364BB"/>
    <w:rsid w:val="006371DF"/>
    <w:rsid w:val="00640BAE"/>
    <w:rsid w:val="006456F7"/>
    <w:rsid w:val="00646ACD"/>
    <w:rsid w:val="0065377D"/>
    <w:rsid w:val="00655EEF"/>
    <w:rsid w:val="00656A1B"/>
    <w:rsid w:val="00657842"/>
    <w:rsid w:val="00662783"/>
    <w:rsid w:val="00667A86"/>
    <w:rsid w:val="00671AA4"/>
    <w:rsid w:val="006735AC"/>
    <w:rsid w:val="006749D9"/>
    <w:rsid w:val="0067793E"/>
    <w:rsid w:val="00687122"/>
    <w:rsid w:val="00692B89"/>
    <w:rsid w:val="0069335B"/>
    <w:rsid w:val="006938D2"/>
    <w:rsid w:val="00696705"/>
    <w:rsid w:val="00697107"/>
    <w:rsid w:val="006A0441"/>
    <w:rsid w:val="006A7DBA"/>
    <w:rsid w:val="006B08E3"/>
    <w:rsid w:val="006B0984"/>
    <w:rsid w:val="006B13E0"/>
    <w:rsid w:val="006B2BF9"/>
    <w:rsid w:val="006B5574"/>
    <w:rsid w:val="006B7109"/>
    <w:rsid w:val="006C26D1"/>
    <w:rsid w:val="006C50E3"/>
    <w:rsid w:val="006C7C97"/>
    <w:rsid w:val="006D29CB"/>
    <w:rsid w:val="006D6BEB"/>
    <w:rsid w:val="006E3786"/>
    <w:rsid w:val="006E5229"/>
    <w:rsid w:val="006E5B67"/>
    <w:rsid w:val="006F4BA0"/>
    <w:rsid w:val="007016C9"/>
    <w:rsid w:val="007017D0"/>
    <w:rsid w:val="0070297E"/>
    <w:rsid w:val="00703805"/>
    <w:rsid w:val="00703E3F"/>
    <w:rsid w:val="00717323"/>
    <w:rsid w:val="00717CE1"/>
    <w:rsid w:val="00721081"/>
    <w:rsid w:val="00721430"/>
    <w:rsid w:val="00724197"/>
    <w:rsid w:val="00724B8A"/>
    <w:rsid w:val="00726BA1"/>
    <w:rsid w:val="00730458"/>
    <w:rsid w:val="00731B6F"/>
    <w:rsid w:val="007347D6"/>
    <w:rsid w:val="00734C39"/>
    <w:rsid w:val="00735A0A"/>
    <w:rsid w:val="007370E7"/>
    <w:rsid w:val="00744D6E"/>
    <w:rsid w:val="0074568D"/>
    <w:rsid w:val="0075294C"/>
    <w:rsid w:val="00752C23"/>
    <w:rsid w:val="00754DAB"/>
    <w:rsid w:val="00760509"/>
    <w:rsid w:val="007606A3"/>
    <w:rsid w:val="0076279F"/>
    <w:rsid w:val="00763054"/>
    <w:rsid w:val="0076330F"/>
    <w:rsid w:val="007636DB"/>
    <w:rsid w:val="00764209"/>
    <w:rsid w:val="00765001"/>
    <w:rsid w:val="007716EC"/>
    <w:rsid w:val="00771820"/>
    <w:rsid w:val="00775F51"/>
    <w:rsid w:val="00781EE8"/>
    <w:rsid w:val="00783F8B"/>
    <w:rsid w:val="007858AB"/>
    <w:rsid w:val="0078743C"/>
    <w:rsid w:val="007902CB"/>
    <w:rsid w:val="00790E2F"/>
    <w:rsid w:val="00792CC9"/>
    <w:rsid w:val="00794288"/>
    <w:rsid w:val="00795614"/>
    <w:rsid w:val="007957F6"/>
    <w:rsid w:val="00795DF1"/>
    <w:rsid w:val="00796A16"/>
    <w:rsid w:val="007A5C68"/>
    <w:rsid w:val="007A76E4"/>
    <w:rsid w:val="007B009D"/>
    <w:rsid w:val="007B1A98"/>
    <w:rsid w:val="007B3811"/>
    <w:rsid w:val="007B5569"/>
    <w:rsid w:val="007B6FF8"/>
    <w:rsid w:val="007C173E"/>
    <w:rsid w:val="007C45FB"/>
    <w:rsid w:val="007C6141"/>
    <w:rsid w:val="007C6DAC"/>
    <w:rsid w:val="007D1164"/>
    <w:rsid w:val="007D1F5B"/>
    <w:rsid w:val="007D5CCF"/>
    <w:rsid w:val="007E248A"/>
    <w:rsid w:val="007E774B"/>
    <w:rsid w:val="007F07AD"/>
    <w:rsid w:val="007F1C2C"/>
    <w:rsid w:val="007F3F5A"/>
    <w:rsid w:val="007F50B9"/>
    <w:rsid w:val="007F5917"/>
    <w:rsid w:val="007F7A0B"/>
    <w:rsid w:val="00802E14"/>
    <w:rsid w:val="0080505C"/>
    <w:rsid w:val="00806B2D"/>
    <w:rsid w:val="008112D5"/>
    <w:rsid w:val="00813F90"/>
    <w:rsid w:val="00814B06"/>
    <w:rsid w:val="008150B5"/>
    <w:rsid w:val="00815E42"/>
    <w:rsid w:val="00816723"/>
    <w:rsid w:val="0081796D"/>
    <w:rsid w:val="00820BF6"/>
    <w:rsid w:val="0082105C"/>
    <w:rsid w:val="00821877"/>
    <w:rsid w:val="00821F1E"/>
    <w:rsid w:val="00821FD0"/>
    <w:rsid w:val="00822941"/>
    <w:rsid w:val="008235EB"/>
    <w:rsid w:val="0082394D"/>
    <w:rsid w:val="00823BE0"/>
    <w:rsid w:val="00826F19"/>
    <w:rsid w:val="00833575"/>
    <w:rsid w:val="008340C7"/>
    <w:rsid w:val="00837057"/>
    <w:rsid w:val="008372F7"/>
    <w:rsid w:val="00845F93"/>
    <w:rsid w:val="008525A3"/>
    <w:rsid w:val="00854E05"/>
    <w:rsid w:val="008558C6"/>
    <w:rsid w:val="00861CCE"/>
    <w:rsid w:val="0086332D"/>
    <w:rsid w:val="00864401"/>
    <w:rsid w:val="00866569"/>
    <w:rsid w:val="0086681D"/>
    <w:rsid w:val="00866C99"/>
    <w:rsid w:val="008708F4"/>
    <w:rsid w:val="00875B04"/>
    <w:rsid w:val="00880F06"/>
    <w:rsid w:val="0088189D"/>
    <w:rsid w:val="00884CA0"/>
    <w:rsid w:val="00886B96"/>
    <w:rsid w:val="00896795"/>
    <w:rsid w:val="008A03B6"/>
    <w:rsid w:val="008A2AEF"/>
    <w:rsid w:val="008B0DAA"/>
    <w:rsid w:val="008B221D"/>
    <w:rsid w:val="008B2252"/>
    <w:rsid w:val="008B59FF"/>
    <w:rsid w:val="008C029D"/>
    <w:rsid w:val="008C103B"/>
    <w:rsid w:val="008C11DF"/>
    <w:rsid w:val="008C5945"/>
    <w:rsid w:val="008C72AB"/>
    <w:rsid w:val="008D023B"/>
    <w:rsid w:val="008D03DF"/>
    <w:rsid w:val="008D688B"/>
    <w:rsid w:val="008E3D9B"/>
    <w:rsid w:val="008E520F"/>
    <w:rsid w:val="008E5EBC"/>
    <w:rsid w:val="008F1126"/>
    <w:rsid w:val="008F2770"/>
    <w:rsid w:val="008F30C5"/>
    <w:rsid w:val="008F4652"/>
    <w:rsid w:val="008F5DAA"/>
    <w:rsid w:val="008F5E0A"/>
    <w:rsid w:val="008F6BD8"/>
    <w:rsid w:val="008F6D90"/>
    <w:rsid w:val="00901C40"/>
    <w:rsid w:val="00904D93"/>
    <w:rsid w:val="00906915"/>
    <w:rsid w:val="00906D27"/>
    <w:rsid w:val="009145EE"/>
    <w:rsid w:val="00921B95"/>
    <w:rsid w:val="00925BF1"/>
    <w:rsid w:val="00926A11"/>
    <w:rsid w:val="00930593"/>
    <w:rsid w:val="00931217"/>
    <w:rsid w:val="00933072"/>
    <w:rsid w:val="009350C1"/>
    <w:rsid w:val="00935D53"/>
    <w:rsid w:val="00935E24"/>
    <w:rsid w:val="00940572"/>
    <w:rsid w:val="009419BD"/>
    <w:rsid w:val="0094413A"/>
    <w:rsid w:val="00945858"/>
    <w:rsid w:val="00950112"/>
    <w:rsid w:val="009569CF"/>
    <w:rsid w:val="00960855"/>
    <w:rsid w:val="009610F7"/>
    <w:rsid w:val="00961226"/>
    <w:rsid w:val="009633FC"/>
    <w:rsid w:val="00970819"/>
    <w:rsid w:val="009739E1"/>
    <w:rsid w:val="00974746"/>
    <w:rsid w:val="00975A64"/>
    <w:rsid w:val="0097685F"/>
    <w:rsid w:val="00977EEE"/>
    <w:rsid w:val="009823DC"/>
    <w:rsid w:val="009831D1"/>
    <w:rsid w:val="00985489"/>
    <w:rsid w:val="00985D21"/>
    <w:rsid w:val="00990152"/>
    <w:rsid w:val="00991B9C"/>
    <w:rsid w:val="00992202"/>
    <w:rsid w:val="009941CA"/>
    <w:rsid w:val="00994830"/>
    <w:rsid w:val="009958DA"/>
    <w:rsid w:val="00997B38"/>
    <w:rsid w:val="009A2F7F"/>
    <w:rsid w:val="009A3250"/>
    <w:rsid w:val="009B1388"/>
    <w:rsid w:val="009B3355"/>
    <w:rsid w:val="009B6070"/>
    <w:rsid w:val="009B76D0"/>
    <w:rsid w:val="009C361E"/>
    <w:rsid w:val="009C3D36"/>
    <w:rsid w:val="009C5EC9"/>
    <w:rsid w:val="009C7F0B"/>
    <w:rsid w:val="009D27B3"/>
    <w:rsid w:val="009E08CD"/>
    <w:rsid w:val="009E104F"/>
    <w:rsid w:val="009F09FF"/>
    <w:rsid w:val="009F0CCD"/>
    <w:rsid w:val="009F350B"/>
    <w:rsid w:val="009F7EFE"/>
    <w:rsid w:val="00A0021A"/>
    <w:rsid w:val="00A00942"/>
    <w:rsid w:val="00A04AB9"/>
    <w:rsid w:val="00A0704B"/>
    <w:rsid w:val="00A07942"/>
    <w:rsid w:val="00A10DE6"/>
    <w:rsid w:val="00A14D60"/>
    <w:rsid w:val="00A15DF6"/>
    <w:rsid w:val="00A22D6B"/>
    <w:rsid w:val="00A26BB2"/>
    <w:rsid w:val="00A27B88"/>
    <w:rsid w:val="00A33C10"/>
    <w:rsid w:val="00A33F1A"/>
    <w:rsid w:val="00A3436C"/>
    <w:rsid w:val="00A4405F"/>
    <w:rsid w:val="00A44C5D"/>
    <w:rsid w:val="00A4676F"/>
    <w:rsid w:val="00A470DB"/>
    <w:rsid w:val="00A5094D"/>
    <w:rsid w:val="00A5250F"/>
    <w:rsid w:val="00A6333F"/>
    <w:rsid w:val="00A642DD"/>
    <w:rsid w:val="00A713AE"/>
    <w:rsid w:val="00A73349"/>
    <w:rsid w:val="00A7375D"/>
    <w:rsid w:val="00A74AB8"/>
    <w:rsid w:val="00A77D44"/>
    <w:rsid w:val="00A80552"/>
    <w:rsid w:val="00A82CE6"/>
    <w:rsid w:val="00A837B1"/>
    <w:rsid w:val="00A851CE"/>
    <w:rsid w:val="00A8576A"/>
    <w:rsid w:val="00A85F48"/>
    <w:rsid w:val="00A9098F"/>
    <w:rsid w:val="00A95E08"/>
    <w:rsid w:val="00A95F73"/>
    <w:rsid w:val="00A96757"/>
    <w:rsid w:val="00AA21E7"/>
    <w:rsid w:val="00AA2982"/>
    <w:rsid w:val="00AA628A"/>
    <w:rsid w:val="00AB01E6"/>
    <w:rsid w:val="00AB1032"/>
    <w:rsid w:val="00AB4C42"/>
    <w:rsid w:val="00AB71D7"/>
    <w:rsid w:val="00AC1052"/>
    <w:rsid w:val="00AC33AE"/>
    <w:rsid w:val="00AC472D"/>
    <w:rsid w:val="00AC6265"/>
    <w:rsid w:val="00AC6501"/>
    <w:rsid w:val="00AC7357"/>
    <w:rsid w:val="00AD0F9D"/>
    <w:rsid w:val="00AD126F"/>
    <w:rsid w:val="00AD4219"/>
    <w:rsid w:val="00AD4772"/>
    <w:rsid w:val="00AE03F0"/>
    <w:rsid w:val="00AE084E"/>
    <w:rsid w:val="00AE0F26"/>
    <w:rsid w:val="00AE3720"/>
    <w:rsid w:val="00AF2933"/>
    <w:rsid w:val="00AF3388"/>
    <w:rsid w:val="00AF72A9"/>
    <w:rsid w:val="00B00EC0"/>
    <w:rsid w:val="00B04013"/>
    <w:rsid w:val="00B063F6"/>
    <w:rsid w:val="00B10852"/>
    <w:rsid w:val="00B11BBC"/>
    <w:rsid w:val="00B11FA0"/>
    <w:rsid w:val="00B26F4A"/>
    <w:rsid w:val="00B30377"/>
    <w:rsid w:val="00B33B24"/>
    <w:rsid w:val="00B34FBC"/>
    <w:rsid w:val="00B35FD6"/>
    <w:rsid w:val="00B36B5E"/>
    <w:rsid w:val="00B41591"/>
    <w:rsid w:val="00B43644"/>
    <w:rsid w:val="00B438A4"/>
    <w:rsid w:val="00B44BCB"/>
    <w:rsid w:val="00B47E5C"/>
    <w:rsid w:val="00B512E4"/>
    <w:rsid w:val="00B53D55"/>
    <w:rsid w:val="00B54490"/>
    <w:rsid w:val="00B559C2"/>
    <w:rsid w:val="00B56383"/>
    <w:rsid w:val="00B60CA6"/>
    <w:rsid w:val="00B61554"/>
    <w:rsid w:val="00B63795"/>
    <w:rsid w:val="00B70AE5"/>
    <w:rsid w:val="00B76AFF"/>
    <w:rsid w:val="00B84719"/>
    <w:rsid w:val="00B86A8B"/>
    <w:rsid w:val="00B9081C"/>
    <w:rsid w:val="00B92238"/>
    <w:rsid w:val="00B92EEF"/>
    <w:rsid w:val="00B930F2"/>
    <w:rsid w:val="00B95B0D"/>
    <w:rsid w:val="00BA07BE"/>
    <w:rsid w:val="00BA0B3B"/>
    <w:rsid w:val="00BA722C"/>
    <w:rsid w:val="00BA73AF"/>
    <w:rsid w:val="00BA73CF"/>
    <w:rsid w:val="00BB2E5E"/>
    <w:rsid w:val="00BB4006"/>
    <w:rsid w:val="00BB40F1"/>
    <w:rsid w:val="00BB52B9"/>
    <w:rsid w:val="00BB5505"/>
    <w:rsid w:val="00BC007F"/>
    <w:rsid w:val="00BC4DEA"/>
    <w:rsid w:val="00BD4F3E"/>
    <w:rsid w:val="00BD5C35"/>
    <w:rsid w:val="00BE14C2"/>
    <w:rsid w:val="00BE2C8E"/>
    <w:rsid w:val="00BE4A57"/>
    <w:rsid w:val="00BE5D1D"/>
    <w:rsid w:val="00BF2672"/>
    <w:rsid w:val="00BF4648"/>
    <w:rsid w:val="00BF750D"/>
    <w:rsid w:val="00BF752B"/>
    <w:rsid w:val="00C168C7"/>
    <w:rsid w:val="00C17BA1"/>
    <w:rsid w:val="00C23172"/>
    <w:rsid w:val="00C322C0"/>
    <w:rsid w:val="00C32F78"/>
    <w:rsid w:val="00C33CFF"/>
    <w:rsid w:val="00C3550E"/>
    <w:rsid w:val="00C37030"/>
    <w:rsid w:val="00C37442"/>
    <w:rsid w:val="00C4108C"/>
    <w:rsid w:val="00C43F5B"/>
    <w:rsid w:val="00C462FB"/>
    <w:rsid w:val="00C47224"/>
    <w:rsid w:val="00C476F0"/>
    <w:rsid w:val="00C525BC"/>
    <w:rsid w:val="00C53BCC"/>
    <w:rsid w:val="00C55217"/>
    <w:rsid w:val="00C55554"/>
    <w:rsid w:val="00C57DCD"/>
    <w:rsid w:val="00C61CE9"/>
    <w:rsid w:val="00C65542"/>
    <w:rsid w:val="00C71DEA"/>
    <w:rsid w:val="00C71FBD"/>
    <w:rsid w:val="00C73F5C"/>
    <w:rsid w:val="00C7486C"/>
    <w:rsid w:val="00C80B2E"/>
    <w:rsid w:val="00C83354"/>
    <w:rsid w:val="00C84497"/>
    <w:rsid w:val="00C854D0"/>
    <w:rsid w:val="00C91FF5"/>
    <w:rsid w:val="00C93302"/>
    <w:rsid w:val="00C97711"/>
    <w:rsid w:val="00CA08ED"/>
    <w:rsid w:val="00CA0CA1"/>
    <w:rsid w:val="00CA3CD3"/>
    <w:rsid w:val="00CA4945"/>
    <w:rsid w:val="00CA49F3"/>
    <w:rsid w:val="00CB10C8"/>
    <w:rsid w:val="00CB1C68"/>
    <w:rsid w:val="00CB230E"/>
    <w:rsid w:val="00CB29B7"/>
    <w:rsid w:val="00CB491C"/>
    <w:rsid w:val="00CB4E1E"/>
    <w:rsid w:val="00CB7CEE"/>
    <w:rsid w:val="00CC2993"/>
    <w:rsid w:val="00CC38CC"/>
    <w:rsid w:val="00CC67A1"/>
    <w:rsid w:val="00CD1531"/>
    <w:rsid w:val="00CD301A"/>
    <w:rsid w:val="00CD4413"/>
    <w:rsid w:val="00CD7149"/>
    <w:rsid w:val="00CE2E7E"/>
    <w:rsid w:val="00CE4096"/>
    <w:rsid w:val="00CE63D3"/>
    <w:rsid w:val="00CE7ABD"/>
    <w:rsid w:val="00CE7B71"/>
    <w:rsid w:val="00CF0ED1"/>
    <w:rsid w:val="00CF1B51"/>
    <w:rsid w:val="00CF2C1A"/>
    <w:rsid w:val="00D00CFD"/>
    <w:rsid w:val="00D02AB2"/>
    <w:rsid w:val="00D056CC"/>
    <w:rsid w:val="00D071CB"/>
    <w:rsid w:val="00D07C17"/>
    <w:rsid w:val="00D10A05"/>
    <w:rsid w:val="00D10B19"/>
    <w:rsid w:val="00D1378B"/>
    <w:rsid w:val="00D14AFE"/>
    <w:rsid w:val="00D14ED0"/>
    <w:rsid w:val="00D2219C"/>
    <w:rsid w:val="00D32808"/>
    <w:rsid w:val="00D32CF0"/>
    <w:rsid w:val="00D32F0B"/>
    <w:rsid w:val="00D33E6C"/>
    <w:rsid w:val="00D45964"/>
    <w:rsid w:val="00D45F3E"/>
    <w:rsid w:val="00D51776"/>
    <w:rsid w:val="00D52E20"/>
    <w:rsid w:val="00D5689B"/>
    <w:rsid w:val="00D56C0C"/>
    <w:rsid w:val="00D57BC4"/>
    <w:rsid w:val="00D62C52"/>
    <w:rsid w:val="00D63E9F"/>
    <w:rsid w:val="00D70E90"/>
    <w:rsid w:val="00D710B5"/>
    <w:rsid w:val="00D71693"/>
    <w:rsid w:val="00D726E7"/>
    <w:rsid w:val="00D72D7B"/>
    <w:rsid w:val="00D76FA7"/>
    <w:rsid w:val="00D82951"/>
    <w:rsid w:val="00D8501E"/>
    <w:rsid w:val="00D85FD4"/>
    <w:rsid w:val="00D9143D"/>
    <w:rsid w:val="00D95E19"/>
    <w:rsid w:val="00DB0655"/>
    <w:rsid w:val="00DB0B75"/>
    <w:rsid w:val="00DB7A20"/>
    <w:rsid w:val="00DB7D67"/>
    <w:rsid w:val="00DC0202"/>
    <w:rsid w:val="00DC08AA"/>
    <w:rsid w:val="00DC38DE"/>
    <w:rsid w:val="00DC4F40"/>
    <w:rsid w:val="00DC790F"/>
    <w:rsid w:val="00DD2218"/>
    <w:rsid w:val="00DD258F"/>
    <w:rsid w:val="00DD3C2B"/>
    <w:rsid w:val="00DD5E5F"/>
    <w:rsid w:val="00DD62E3"/>
    <w:rsid w:val="00DD7DD3"/>
    <w:rsid w:val="00DE1554"/>
    <w:rsid w:val="00DE1EC0"/>
    <w:rsid w:val="00DE1FB1"/>
    <w:rsid w:val="00DE443A"/>
    <w:rsid w:val="00DE4544"/>
    <w:rsid w:val="00DF0344"/>
    <w:rsid w:val="00DF0DB0"/>
    <w:rsid w:val="00DF5342"/>
    <w:rsid w:val="00DF5B87"/>
    <w:rsid w:val="00DF68CF"/>
    <w:rsid w:val="00E01EF6"/>
    <w:rsid w:val="00E0237D"/>
    <w:rsid w:val="00E02C99"/>
    <w:rsid w:val="00E07713"/>
    <w:rsid w:val="00E11076"/>
    <w:rsid w:val="00E12E75"/>
    <w:rsid w:val="00E139FA"/>
    <w:rsid w:val="00E15C30"/>
    <w:rsid w:val="00E1609B"/>
    <w:rsid w:val="00E16C6A"/>
    <w:rsid w:val="00E22D4E"/>
    <w:rsid w:val="00E23882"/>
    <w:rsid w:val="00E24C6C"/>
    <w:rsid w:val="00E26F05"/>
    <w:rsid w:val="00E3124D"/>
    <w:rsid w:val="00E35B22"/>
    <w:rsid w:val="00E35E80"/>
    <w:rsid w:val="00E4010D"/>
    <w:rsid w:val="00E42A73"/>
    <w:rsid w:val="00E46AE1"/>
    <w:rsid w:val="00E509AC"/>
    <w:rsid w:val="00E522A8"/>
    <w:rsid w:val="00E560D2"/>
    <w:rsid w:val="00E57B2A"/>
    <w:rsid w:val="00E604B1"/>
    <w:rsid w:val="00E630F5"/>
    <w:rsid w:val="00E644C1"/>
    <w:rsid w:val="00E6528A"/>
    <w:rsid w:val="00E65F63"/>
    <w:rsid w:val="00E67B21"/>
    <w:rsid w:val="00E67FD5"/>
    <w:rsid w:val="00E71AC1"/>
    <w:rsid w:val="00E7379D"/>
    <w:rsid w:val="00E7468C"/>
    <w:rsid w:val="00E754F0"/>
    <w:rsid w:val="00E77BEA"/>
    <w:rsid w:val="00E863FB"/>
    <w:rsid w:val="00E8728D"/>
    <w:rsid w:val="00E873EB"/>
    <w:rsid w:val="00E932FF"/>
    <w:rsid w:val="00E94B47"/>
    <w:rsid w:val="00E95BDA"/>
    <w:rsid w:val="00E96058"/>
    <w:rsid w:val="00E96C5D"/>
    <w:rsid w:val="00EA17E3"/>
    <w:rsid w:val="00EA2B27"/>
    <w:rsid w:val="00EA3CA8"/>
    <w:rsid w:val="00EA46A8"/>
    <w:rsid w:val="00EA5B01"/>
    <w:rsid w:val="00EB0631"/>
    <w:rsid w:val="00EB0868"/>
    <w:rsid w:val="00EB238C"/>
    <w:rsid w:val="00EB6C34"/>
    <w:rsid w:val="00EC1AE7"/>
    <w:rsid w:val="00EC6082"/>
    <w:rsid w:val="00EC640D"/>
    <w:rsid w:val="00EC67A3"/>
    <w:rsid w:val="00ED361A"/>
    <w:rsid w:val="00ED618D"/>
    <w:rsid w:val="00EE03B0"/>
    <w:rsid w:val="00EE112A"/>
    <w:rsid w:val="00EE1605"/>
    <w:rsid w:val="00EE1E4C"/>
    <w:rsid w:val="00EE2EAD"/>
    <w:rsid w:val="00EE67F9"/>
    <w:rsid w:val="00EF2A88"/>
    <w:rsid w:val="00EF485C"/>
    <w:rsid w:val="00EF4A5D"/>
    <w:rsid w:val="00EF6C36"/>
    <w:rsid w:val="00EF6CF6"/>
    <w:rsid w:val="00EF74B0"/>
    <w:rsid w:val="00F0380B"/>
    <w:rsid w:val="00F03A22"/>
    <w:rsid w:val="00F0555E"/>
    <w:rsid w:val="00F06B9B"/>
    <w:rsid w:val="00F06FC7"/>
    <w:rsid w:val="00F076F8"/>
    <w:rsid w:val="00F078EC"/>
    <w:rsid w:val="00F10C89"/>
    <w:rsid w:val="00F12004"/>
    <w:rsid w:val="00F131E2"/>
    <w:rsid w:val="00F20834"/>
    <w:rsid w:val="00F21B4E"/>
    <w:rsid w:val="00F21F41"/>
    <w:rsid w:val="00F24FCA"/>
    <w:rsid w:val="00F25933"/>
    <w:rsid w:val="00F25B36"/>
    <w:rsid w:val="00F27931"/>
    <w:rsid w:val="00F30FEF"/>
    <w:rsid w:val="00F337A7"/>
    <w:rsid w:val="00F467E5"/>
    <w:rsid w:val="00F46BBF"/>
    <w:rsid w:val="00F472AF"/>
    <w:rsid w:val="00F47D0E"/>
    <w:rsid w:val="00F51CFD"/>
    <w:rsid w:val="00F543F0"/>
    <w:rsid w:val="00F575F2"/>
    <w:rsid w:val="00F63DB7"/>
    <w:rsid w:val="00F63E63"/>
    <w:rsid w:val="00F649DD"/>
    <w:rsid w:val="00F66359"/>
    <w:rsid w:val="00F666F1"/>
    <w:rsid w:val="00F72979"/>
    <w:rsid w:val="00F73525"/>
    <w:rsid w:val="00F755E4"/>
    <w:rsid w:val="00F77BCF"/>
    <w:rsid w:val="00F77EBB"/>
    <w:rsid w:val="00F8265D"/>
    <w:rsid w:val="00F8266C"/>
    <w:rsid w:val="00F83958"/>
    <w:rsid w:val="00F9144E"/>
    <w:rsid w:val="00F9218D"/>
    <w:rsid w:val="00F930E5"/>
    <w:rsid w:val="00F95150"/>
    <w:rsid w:val="00F96F64"/>
    <w:rsid w:val="00FA4C5E"/>
    <w:rsid w:val="00FA6144"/>
    <w:rsid w:val="00FA768C"/>
    <w:rsid w:val="00FB18C6"/>
    <w:rsid w:val="00FB25C6"/>
    <w:rsid w:val="00FB476B"/>
    <w:rsid w:val="00FC22B2"/>
    <w:rsid w:val="00FC73EF"/>
    <w:rsid w:val="00FE1F71"/>
    <w:rsid w:val="00FE522A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988A4-E122-4364-9A62-EA74899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52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54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5387956536770762857msoplaintext">
    <w:name w:val="m_5387956536770762857msoplaintext"/>
    <w:basedOn w:val="Normal"/>
    <w:uiPriority w:val="99"/>
    <w:semiHidden/>
    <w:rsid w:val="00C854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108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E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.edu/Subjects/Engineering-Technology-and-Manufacturin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nv.edu/Credit/Busin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v.edu/Subjects/Biological-Scien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v.edu/Academics/Academic-Divisions/Allied-Health-Nursing-and-Physical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.edu/Credit/Cybersecur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Rios-Knauf, Irene</dc:creator>
  <cp:keywords/>
  <dc:description/>
  <cp:lastModifiedBy>Rios-Knauf, Irene</cp:lastModifiedBy>
  <cp:revision>2</cp:revision>
  <cp:lastPrinted>2017-06-07T12:48:00Z</cp:lastPrinted>
  <dcterms:created xsi:type="dcterms:W3CDTF">2017-06-07T13:57:00Z</dcterms:created>
  <dcterms:modified xsi:type="dcterms:W3CDTF">2017-06-07T13:57:00Z</dcterms:modified>
</cp:coreProperties>
</file>