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F9" w:rsidRPr="004479EC" w:rsidRDefault="004479EC" w:rsidP="004479EC">
      <w:pPr>
        <w:spacing w:after="0"/>
        <w:rPr>
          <w:sz w:val="24"/>
          <w:szCs w:val="24"/>
        </w:rPr>
      </w:pPr>
      <w:bookmarkStart w:id="0" w:name="_GoBack"/>
      <w:bookmarkEnd w:id="0"/>
      <w:r w:rsidRPr="004479EC">
        <w:rPr>
          <w:b/>
          <w:i/>
          <w:sz w:val="24"/>
          <w:szCs w:val="24"/>
        </w:rPr>
        <w:t>Course Title &amp; Number</w:t>
      </w:r>
      <w:r w:rsidR="00095748">
        <w:rPr>
          <w:sz w:val="24"/>
          <w:szCs w:val="24"/>
        </w:rPr>
        <w:t xml:space="preserve">: </w:t>
      </w:r>
    </w:p>
    <w:p w:rsidR="004479EC" w:rsidRPr="004479EC" w:rsidRDefault="004479EC" w:rsidP="004479EC">
      <w:pPr>
        <w:spacing w:after="0"/>
        <w:rPr>
          <w:sz w:val="24"/>
          <w:szCs w:val="24"/>
        </w:rPr>
      </w:pPr>
    </w:p>
    <w:p w:rsidR="00D54DC9" w:rsidRPr="006A4C07" w:rsidRDefault="004479EC" w:rsidP="00B3181B">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B00E47">
        <w:rPr>
          <w:b/>
          <w:sz w:val="24"/>
          <w:szCs w:val="24"/>
        </w:rPr>
        <w:t>Global Knowledge</w:t>
      </w:r>
      <w:r w:rsidR="00F91CF5">
        <w:rPr>
          <w:sz w:val="24"/>
          <w:szCs w:val="24"/>
        </w:rPr>
        <w:t xml:space="preserve"> </w:t>
      </w:r>
      <w:r>
        <w:rPr>
          <w:sz w:val="24"/>
          <w:szCs w:val="24"/>
        </w:rPr>
        <w:t>(</w:t>
      </w:r>
      <w:r w:rsidRPr="00767C3E">
        <w:rPr>
          <w:sz w:val="24"/>
          <w:szCs w:val="24"/>
        </w:rPr>
        <w:t>Goal:</w:t>
      </w:r>
      <w:r w:rsidR="00946E07" w:rsidRPr="00767C3E">
        <w:rPr>
          <w:rFonts w:cs="Calibri"/>
          <w:sz w:val="24"/>
          <w:szCs w:val="24"/>
        </w:rPr>
        <w:t xml:space="preserve"> </w:t>
      </w:r>
      <w:r w:rsidR="00765ECD" w:rsidRPr="00767C3E">
        <w:rPr>
          <w:rFonts w:cs="Calibri"/>
          <w:sz w:val="24"/>
          <w:szCs w:val="24"/>
        </w:rPr>
        <w:t xml:space="preserve">fulfills requirements for </w:t>
      </w:r>
      <w:r w:rsidR="00767C3E" w:rsidRPr="00767C3E">
        <w:rPr>
          <w:sz w:val="24"/>
          <w:szCs w:val="24"/>
        </w:rPr>
        <w:t>CCSU’s Social Sciences, ECSUs Individuals and Societies, SCSU’s Global Awareness,</w:t>
      </w:r>
      <w:r w:rsidR="00767C3E" w:rsidRPr="00767C3E">
        <w:rPr>
          <w:color w:val="1F497D"/>
          <w:sz w:val="24"/>
          <w:szCs w:val="24"/>
        </w:rPr>
        <w:t xml:space="preserve"> </w:t>
      </w:r>
      <w:r w:rsidR="00767C3E" w:rsidRPr="00767C3E">
        <w:rPr>
          <w:sz w:val="24"/>
          <w:szCs w:val="24"/>
        </w:rPr>
        <w:t>WCSU’s General Education Elective,</w:t>
      </w:r>
      <w:r w:rsidR="00767C3E" w:rsidRPr="00767C3E">
        <w:rPr>
          <w:color w:val="1F497D"/>
          <w:sz w:val="24"/>
          <w:szCs w:val="24"/>
        </w:rPr>
        <w:t xml:space="preserve"> </w:t>
      </w:r>
      <w:r w:rsidR="00767C3E" w:rsidRPr="00767C3E">
        <w:rPr>
          <w:sz w:val="24"/>
          <w:szCs w:val="24"/>
        </w:rPr>
        <w:t>and COSC’s Global Understanding</w:t>
      </w:r>
      <w:r w:rsidR="00B3181B" w:rsidRPr="00767C3E">
        <w:rPr>
          <w:rFonts w:cs="Calibri"/>
          <w:sz w:val="24"/>
          <w:szCs w:val="24"/>
        </w:rPr>
        <w:t>)</w:t>
      </w:r>
    </w:p>
    <w:p w:rsidR="00767C3E" w:rsidRPr="00767C3E" w:rsidRDefault="00767C3E" w:rsidP="00767C3E">
      <w:pPr>
        <w:spacing w:after="0" w:line="240" w:lineRule="auto"/>
        <w:rPr>
          <w:rFonts w:ascii="Garamond" w:hAnsi="Garamond"/>
          <w:sz w:val="24"/>
          <w:szCs w:val="24"/>
        </w:rPr>
      </w:pPr>
    </w:p>
    <w:p w:rsidR="00767C3E" w:rsidRPr="006A4C07" w:rsidRDefault="00767C3E" w:rsidP="00D54DC9">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002E0E27">
        <w:rPr>
          <w:sz w:val="24"/>
          <w:szCs w:val="24"/>
        </w:rPr>
        <w:t>:</w:t>
      </w:r>
      <w:r w:rsidR="005C404B">
        <w:rPr>
          <w:sz w:val="24"/>
          <w:szCs w:val="24"/>
        </w:rPr>
        <w:tab/>
      </w:r>
      <w:r w:rsidR="005C404B">
        <w:rPr>
          <w:sz w:val="24"/>
          <w:szCs w:val="24"/>
        </w:rPr>
        <w:tab/>
      </w:r>
      <w:r w:rsidR="005C404B">
        <w:rPr>
          <w:sz w:val="24"/>
          <w:szCs w:val="24"/>
        </w:rPr>
        <w:tab/>
      </w:r>
      <w:r>
        <w:rPr>
          <w:sz w:val="24"/>
          <w:szCs w:val="24"/>
        </w:rPr>
        <w:t xml:space="preserve">                                                                       </w:t>
      </w:r>
      <w:r w:rsidRPr="004479EC">
        <w:rPr>
          <w:b/>
          <w:i/>
          <w:sz w:val="24"/>
          <w:szCs w:val="24"/>
        </w:rPr>
        <w:t>Date</w:t>
      </w:r>
      <w:r w:rsidR="002E0E27">
        <w:rPr>
          <w:sz w:val="24"/>
          <w:szCs w:val="24"/>
        </w:rPr>
        <w:t xml:space="preserve">: </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335430">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335430" w:rsidRDefault="004479EC" w:rsidP="004479EC">
      <w:pPr>
        <w:spacing w:after="0"/>
        <w:rPr>
          <w:sz w:val="16"/>
          <w:szCs w:val="16"/>
        </w:rPr>
      </w:pPr>
    </w:p>
    <w:tbl>
      <w:tblPr>
        <w:tblStyle w:val="TableGrid"/>
        <w:tblW w:w="0" w:type="auto"/>
        <w:tblLook w:val="04A0" w:firstRow="1" w:lastRow="0" w:firstColumn="1" w:lastColumn="0" w:noHBand="0" w:noVBand="1"/>
      </w:tblPr>
      <w:tblGrid>
        <w:gridCol w:w="7202"/>
        <w:gridCol w:w="7188"/>
      </w:tblGrid>
      <w:tr w:rsidR="004479EC" w:rsidRPr="004479EC" w:rsidTr="00765ECD">
        <w:tc>
          <w:tcPr>
            <w:tcW w:w="7202"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18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765ECD">
        <w:tc>
          <w:tcPr>
            <w:tcW w:w="7202" w:type="dxa"/>
          </w:tcPr>
          <w:p w:rsidR="00B3181B" w:rsidRPr="00072DD7" w:rsidRDefault="00B3181B" w:rsidP="00B3181B">
            <w:pPr>
              <w:autoSpaceDE w:val="0"/>
              <w:autoSpaceDN w:val="0"/>
              <w:adjustRightInd w:val="0"/>
              <w:rPr>
                <w:rFonts w:ascii="Book Antiqua" w:hAnsi="Book Antiqua" w:cs="Calibri"/>
                <w:sz w:val="24"/>
                <w:szCs w:val="24"/>
              </w:rPr>
            </w:pPr>
          </w:p>
          <w:p w:rsidR="00B3181B" w:rsidRPr="00072DD7" w:rsidRDefault="00B00E47" w:rsidP="00765ECD">
            <w:pPr>
              <w:pStyle w:val="ListParagraph"/>
              <w:numPr>
                <w:ilvl w:val="0"/>
                <w:numId w:val="4"/>
              </w:numPr>
              <w:autoSpaceDE w:val="0"/>
              <w:autoSpaceDN w:val="0"/>
              <w:adjustRightInd w:val="0"/>
              <w:rPr>
                <w:rFonts w:ascii="Book Antiqua" w:hAnsi="Book Antiqua" w:cs="Calibri"/>
                <w:sz w:val="24"/>
                <w:szCs w:val="24"/>
              </w:rPr>
            </w:pPr>
            <w:r w:rsidRPr="00072DD7">
              <w:rPr>
                <w:rFonts w:ascii="Book Antiqua" w:hAnsi="Book Antiqua" w:cs="Calibri"/>
                <w:sz w:val="24"/>
                <w:szCs w:val="24"/>
              </w:rPr>
              <w:t>Students are able to apply theories and methods of social sciences.</w:t>
            </w:r>
          </w:p>
          <w:p w:rsidR="00EB6AD4" w:rsidRPr="00072DD7" w:rsidRDefault="00EB6AD4" w:rsidP="00B3181B">
            <w:pPr>
              <w:autoSpaceDE w:val="0"/>
              <w:autoSpaceDN w:val="0"/>
              <w:adjustRightInd w:val="0"/>
              <w:rPr>
                <w:rFonts w:ascii="Book Antiqua" w:hAnsi="Book Antiqua"/>
                <w:sz w:val="24"/>
                <w:szCs w:val="24"/>
              </w:rPr>
            </w:pPr>
          </w:p>
        </w:tc>
        <w:tc>
          <w:tcPr>
            <w:tcW w:w="7188" w:type="dxa"/>
          </w:tcPr>
          <w:p w:rsidR="004479EC" w:rsidRDefault="004479EC" w:rsidP="005C404B">
            <w:pPr>
              <w:widowControl w:val="0"/>
              <w:autoSpaceDE w:val="0"/>
              <w:autoSpaceDN w:val="0"/>
              <w:adjustRightInd w:val="0"/>
              <w:ind w:left="360"/>
              <w:rPr>
                <w:rFonts w:ascii="Book Antiqua" w:hAnsi="Book Antiqua"/>
                <w:sz w:val="24"/>
                <w:szCs w:val="24"/>
              </w:rPr>
            </w:pPr>
          </w:p>
          <w:p w:rsidR="005C404B" w:rsidRDefault="005C404B" w:rsidP="005C404B">
            <w:pPr>
              <w:widowControl w:val="0"/>
              <w:autoSpaceDE w:val="0"/>
              <w:autoSpaceDN w:val="0"/>
              <w:adjustRightInd w:val="0"/>
              <w:ind w:left="360"/>
              <w:rPr>
                <w:rFonts w:ascii="Book Antiqua" w:hAnsi="Book Antiqua"/>
                <w:sz w:val="24"/>
                <w:szCs w:val="24"/>
              </w:rPr>
            </w:pPr>
          </w:p>
          <w:p w:rsidR="005C404B" w:rsidRDefault="005C404B" w:rsidP="005C404B">
            <w:pPr>
              <w:widowControl w:val="0"/>
              <w:autoSpaceDE w:val="0"/>
              <w:autoSpaceDN w:val="0"/>
              <w:adjustRightInd w:val="0"/>
              <w:ind w:left="360"/>
              <w:rPr>
                <w:rFonts w:ascii="Book Antiqua" w:hAnsi="Book Antiqua"/>
                <w:sz w:val="24"/>
                <w:szCs w:val="24"/>
              </w:rPr>
            </w:pPr>
          </w:p>
          <w:p w:rsidR="005C404B" w:rsidRDefault="005C404B" w:rsidP="005C404B">
            <w:pPr>
              <w:widowControl w:val="0"/>
              <w:autoSpaceDE w:val="0"/>
              <w:autoSpaceDN w:val="0"/>
              <w:adjustRightInd w:val="0"/>
              <w:ind w:left="360"/>
              <w:rPr>
                <w:rFonts w:ascii="Book Antiqua" w:hAnsi="Book Antiqua"/>
                <w:sz w:val="24"/>
                <w:szCs w:val="24"/>
              </w:rPr>
            </w:pPr>
          </w:p>
          <w:p w:rsidR="005C404B" w:rsidRPr="00095748" w:rsidRDefault="005C404B" w:rsidP="005C404B">
            <w:pPr>
              <w:widowControl w:val="0"/>
              <w:autoSpaceDE w:val="0"/>
              <w:autoSpaceDN w:val="0"/>
              <w:adjustRightInd w:val="0"/>
              <w:ind w:left="360"/>
              <w:rPr>
                <w:rFonts w:ascii="Book Antiqua" w:hAnsi="Book Antiqua"/>
                <w:sz w:val="24"/>
                <w:szCs w:val="24"/>
              </w:rPr>
            </w:pPr>
          </w:p>
        </w:tc>
      </w:tr>
      <w:tr w:rsidR="004479EC" w:rsidRPr="004479EC" w:rsidTr="00765ECD">
        <w:tc>
          <w:tcPr>
            <w:tcW w:w="7202" w:type="dxa"/>
          </w:tcPr>
          <w:p w:rsidR="00B3181B" w:rsidRPr="00072DD7" w:rsidRDefault="00B3181B" w:rsidP="00B3181B">
            <w:pPr>
              <w:autoSpaceDE w:val="0"/>
              <w:autoSpaceDN w:val="0"/>
              <w:adjustRightInd w:val="0"/>
              <w:rPr>
                <w:rFonts w:ascii="Book Antiqua" w:hAnsi="Book Antiqua" w:cs="Calibri"/>
                <w:sz w:val="24"/>
                <w:szCs w:val="24"/>
              </w:rPr>
            </w:pPr>
          </w:p>
          <w:p w:rsidR="00B3181B" w:rsidRPr="00072DD7" w:rsidRDefault="006B7F93" w:rsidP="006B7F93">
            <w:pPr>
              <w:pStyle w:val="ListParagraph"/>
              <w:numPr>
                <w:ilvl w:val="0"/>
                <w:numId w:val="4"/>
              </w:numPr>
              <w:autoSpaceDE w:val="0"/>
              <w:autoSpaceDN w:val="0"/>
              <w:adjustRightInd w:val="0"/>
              <w:rPr>
                <w:rFonts w:ascii="Book Antiqua" w:hAnsi="Book Antiqua" w:cs="Calibri"/>
                <w:sz w:val="24"/>
                <w:szCs w:val="24"/>
              </w:rPr>
            </w:pPr>
            <w:r w:rsidRPr="00072DD7">
              <w:rPr>
                <w:rFonts w:ascii="Book Antiqua" w:hAnsi="Book Antiqua" w:cs="Calibri"/>
                <w:sz w:val="24"/>
                <w:szCs w:val="24"/>
              </w:rPr>
              <w:t xml:space="preserve">Students can make informed evaluations of </w:t>
            </w:r>
            <w:r w:rsidRPr="00072DD7">
              <w:rPr>
                <w:rFonts w:ascii="Book Antiqua" w:hAnsi="Book Antiqua" w:cs="Calibri"/>
                <w:sz w:val="24"/>
                <w:szCs w:val="24"/>
                <w:u w:val="single"/>
              </w:rPr>
              <w:t>contemporary</w:t>
            </w:r>
            <w:r w:rsidRPr="00072DD7">
              <w:rPr>
                <w:rFonts w:ascii="Book Antiqua" w:hAnsi="Book Antiqua" w:cs="Calibri"/>
                <w:sz w:val="24"/>
                <w:szCs w:val="24"/>
              </w:rPr>
              <w:t xml:space="preserve"> social institutions and phenomena outside the United States.</w:t>
            </w:r>
          </w:p>
          <w:p w:rsidR="002F440D" w:rsidRPr="00072DD7" w:rsidRDefault="002F440D" w:rsidP="00EB6AD4">
            <w:pPr>
              <w:autoSpaceDE w:val="0"/>
              <w:autoSpaceDN w:val="0"/>
              <w:adjustRightInd w:val="0"/>
              <w:rPr>
                <w:rFonts w:ascii="Book Antiqua" w:hAnsi="Book Antiqua"/>
                <w:sz w:val="24"/>
                <w:szCs w:val="24"/>
              </w:rPr>
            </w:pPr>
          </w:p>
        </w:tc>
        <w:tc>
          <w:tcPr>
            <w:tcW w:w="7188" w:type="dxa"/>
          </w:tcPr>
          <w:p w:rsidR="004479EC" w:rsidRPr="00072DD7" w:rsidRDefault="004479EC" w:rsidP="00095748">
            <w:pPr>
              <w:rPr>
                <w:rFonts w:ascii="Book Antiqua" w:hAnsi="Book Antiqua"/>
                <w:sz w:val="24"/>
                <w:szCs w:val="24"/>
              </w:rPr>
            </w:pPr>
          </w:p>
          <w:p w:rsidR="00B64D0A" w:rsidRDefault="00B64D0A"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Pr="00072DD7" w:rsidRDefault="005C404B" w:rsidP="005C404B">
            <w:pPr>
              <w:widowControl w:val="0"/>
              <w:autoSpaceDE w:val="0"/>
              <w:autoSpaceDN w:val="0"/>
              <w:adjustRightInd w:val="0"/>
              <w:ind w:left="360"/>
              <w:rPr>
                <w:rFonts w:ascii="Book Antiqua" w:hAnsi="Book Antiqua"/>
                <w:sz w:val="24"/>
                <w:szCs w:val="24"/>
              </w:rPr>
            </w:pPr>
          </w:p>
        </w:tc>
      </w:tr>
      <w:tr w:rsidR="00B64D0A" w:rsidRPr="004479EC" w:rsidTr="00765ECD">
        <w:tc>
          <w:tcPr>
            <w:tcW w:w="7202" w:type="dxa"/>
          </w:tcPr>
          <w:p w:rsidR="00B3181B" w:rsidRPr="00072DD7" w:rsidRDefault="00B3181B" w:rsidP="00B3181B">
            <w:pPr>
              <w:autoSpaceDE w:val="0"/>
              <w:autoSpaceDN w:val="0"/>
              <w:adjustRightInd w:val="0"/>
              <w:rPr>
                <w:rFonts w:ascii="Book Antiqua" w:hAnsi="Book Antiqua" w:cs="Calibri"/>
                <w:sz w:val="24"/>
                <w:szCs w:val="24"/>
              </w:rPr>
            </w:pPr>
          </w:p>
          <w:p w:rsidR="006B7F93" w:rsidRPr="00072DD7" w:rsidRDefault="006B7F93" w:rsidP="006B7F93">
            <w:pPr>
              <w:pStyle w:val="ListParagraph"/>
              <w:numPr>
                <w:ilvl w:val="0"/>
                <w:numId w:val="4"/>
              </w:numPr>
              <w:autoSpaceDE w:val="0"/>
              <w:autoSpaceDN w:val="0"/>
              <w:adjustRightInd w:val="0"/>
              <w:rPr>
                <w:rFonts w:ascii="Book Antiqua" w:hAnsi="Book Antiqua" w:cs="Calibri"/>
                <w:sz w:val="24"/>
                <w:szCs w:val="24"/>
              </w:rPr>
            </w:pPr>
            <w:r w:rsidRPr="00072DD7">
              <w:rPr>
                <w:rFonts w:ascii="Book Antiqua" w:hAnsi="Book Antiqua" w:cs="Calibri"/>
                <w:sz w:val="24"/>
                <w:szCs w:val="24"/>
              </w:rPr>
              <w:t xml:space="preserve">Students explore non-U.S. perspectives on global social </w:t>
            </w:r>
          </w:p>
          <w:p w:rsidR="00B3181B" w:rsidRPr="00072DD7" w:rsidRDefault="006B7F93" w:rsidP="006B7F93">
            <w:pPr>
              <w:pStyle w:val="ListParagraph"/>
              <w:autoSpaceDE w:val="0"/>
              <w:autoSpaceDN w:val="0"/>
              <w:adjustRightInd w:val="0"/>
              <w:rPr>
                <w:rFonts w:ascii="Book Antiqua" w:hAnsi="Book Antiqua" w:cs="Calibri"/>
                <w:sz w:val="24"/>
                <w:szCs w:val="24"/>
              </w:rPr>
            </w:pPr>
            <w:r w:rsidRPr="00072DD7">
              <w:rPr>
                <w:rFonts w:ascii="Book Antiqua" w:hAnsi="Book Antiqua" w:cs="Calibri"/>
                <w:sz w:val="24"/>
                <w:szCs w:val="24"/>
              </w:rPr>
              <w:t>institutions and phenomena.</w:t>
            </w:r>
          </w:p>
          <w:p w:rsidR="002F440D" w:rsidRPr="00072DD7" w:rsidRDefault="002F440D" w:rsidP="004479EC">
            <w:pPr>
              <w:rPr>
                <w:rFonts w:ascii="Book Antiqua" w:hAnsi="Book Antiqua"/>
                <w:sz w:val="24"/>
                <w:szCs w:val="24"/>
              </w:rPr>
            </w:pPr>
          </w:p>
        </w:tc>
        <w:tc>
          <w:tcPr>
            <w:tcW w:w="7188" w:type="dxa"/>
          </w:tcPr>
          <w:p w:rsidR="00B64D0A" w:rsidRDefault="00B64D0A"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Default="005C404B" w:rsidP="005C404B">
            <w:pPr>
              <w:widowControl w:val="0"/>
              <w:autoSpaceDE w:val="0"/>
              <w:autoSpaceDN w:val="0"/>
              <w:adjustRightInd w:val="0"/>
              <w:ind w:left="360"/>
              <w:rPr>
                <w:rFonts w:ascii="Times New Roman" w:hAnsi="Times New Roman"/>
                <w:sz w:val="24"/>
                <w:szCs w:val="24"/>
              </w:rPr>
            </w:pPr>
          </w:p>
          <w:p w:rsidR="005C404B" w:rsidRPr="00072DD7" w:rsidRDefault="005C404B" w:rsidP="005C404B">
            <w:pPr>
              <w:widowControl w:val="0"/>
              <w:autoSpaceDE w:val="0"/>
              <w:autoSpaceDN w:val="0"/>
              <w:adjustRightInd w:val="0"/>
              <w:ind w:left="360"/>
              <w:rPr>
                <w:rFonts w:ascii="Book Antiqua" w:hAnsi="Book Antiqua"/>
                <w:sz w:val="24"/>
                <w:szCs w:val="24"/>
              </w:rPr>
            </w:pPr>
          </w:p>
        </w:tc>
      </w:tr>
      <w:tr w:rsidR="00B3181B" w:rsidRPr="004479EC" w:rsidTr="00765ECD">
        <w:tc>
          <w:tcPr>
            <w:tcW w:w="7202" w:type="dxa"/>
          </w:tcPr>
          <w:p w:rsidR="00B3181B" w:rsidRDefault="00B3181B" w:rsidP="00B3181B">
            <w:pPr>
              <w:autoSpaceDE w:val="0"/>
              <w:autoSpaceDN w:val="0"/>
              <w:adjustRightInd w:val="0"/>
              <w:rPr>
                <w:rFonts w:cs="Calibri"/>
                <w:sz w:val="24"/>
                <w:szCs w:val="24"/>
              </w:rPr>
            </w:pPr>
          </w:p>
        </w:tc>
        <w:tc>
          <w:tcPr>
            <w:tcW w:w="7188" w:type="dxa"/>
          </w:tcPr>
          <w:p w:rsidR="00072DD7" w:rsidRPr="00072DD7" w:rsidRDefault="00072DD7" w:rsidP="00072DD7">
            <w:pPr>
              <w:rPr>
                <w:rFonts w:ascii="Book Antiqua" w:hAnsi="Book Antiqua"/>
                <w:sz w:val="24"/>
                <w:szCs w:val="24"/>
              </w:rPr>
            </w:pPr>
          </w:p>
          <w:p w:rsidR="008D705D" w:rsidRDefault="005C404B" w:rsidP="005C404B">
            <w:pPr>
              <w:widowControl w:val="0"/>
              <w:autoSpaceDE w:val="0"/>
              <w:autoSpaceDN w:val="0"/>
              <w:adjustRightInd w:val="0"/>
              <w:rPr>
                <w:rFonts w:ascii="Book Antiqua" w:hAnsi="Book Antiqua"/>
                <w:b/>
                <w:i/>
                <w:sz w:val="20"/>
              </w:rPr>
            </w:pPr>
            <w:r>
              <w:rPr>
                <w:rFonts w:ascii="Book Antiqua" w:hAnsi="Book Antiqua"/>
                <w:b/>
                <w:i/>
                <w:sz w:val="20"/>
              </w:rPr>
              <w:t>Additional Outcomes:</w:t>
            </w:r>
          </w:p>
          <w:p w:rsidR="005C404B" w:rsidRPr="005C404B" w:rsidRDefault="005C404B" w:rsidP="005C404B">
            <w:pPr>
              <w:widowControl w:val="0"/>
              <w:autoSpaceDE w:val="0"/>
              <w:autoSpaceDN w:val="0"/>
              <w:adjustRightInd w:val="0"/>
              <w:rPr>
                <w:rFonts w:ascii="Book Antiqua" w:hAnsi="Book Antiqua"/>
                <w:b/>
                <w:i/>
                <w:sz w:val="20"/>
              </w:rPr>
            </w:pPr>
          </w:p>
          <w:p w:rsidR="00335430" w:rsidRPr="00072DD7" w:rsidRDefault="00335430" w:rsidP="004479EC">
            <w:pPr>
              <w:rPr>
                <w:rFonts w:ascii="Book Antiqua" w:hAnsi="Book Antiqua"/>
                <w:sz w:val="24"/>
                <w:szCs w:val="24"/>
              </w:rPr>
            </w:pPr>
          </w:p>
          <w:p w:rsidR="00335430" w:rsidRPr="00072DD7" w:rsidRDefault="00335430" w:rsidP="004479EC">
            <w:pPr>
              <w:rPr>
                <w:rFonts w:ascii="Book Antiqua" w:hAnsi="Book Antiqua"/>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45EF"/>
    <w:multiLevelType w:val="hybridMultilevel"/>
    <w:tmpl w:val="677A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4A29F1"/>
    <w:multiLevelType w:val="hybridMultilevel"/>
    <w:tmpl w:val="6CB2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25431"/>
    <w:multiLevelType w:val="hybridMultilevel"/>
    <w:tmpl w:val="89DA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546B"/>
    <w:multiLevelType w:val="hybridMultilevel"/>
    <w:tmpl w:val="DEC48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D2DDA"/>
    <w:multiLevelType w:val="hybridMultilevel"/>
    <w:tmpl w:val="89DA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B6C99"/>
    <w:multiLevelType w:val="hybridMultilevel"/>
    <w:tmpl w:val="A3CAFD52"/>
    <w:lvl w:ilvl="0" w:tplc="C6CCFE6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EC"/>
    <w:rsid w:val="00072DD7"/>
    <w:rsid w:val="00095748"/>
    <w:rsid w:val="00152951"/>
    <w:rsid w:val="001A4E79"/>
    <w:rsid w:val="00257C65"/>
    <w:rsid w:val="002E0E27"/>
    <w:rsid w:val="002F4322"/>
    <w:rsid w:val="002F440D"/>
    <w:rsid w:val="00335430"/>
    <w:rsid w:val="004479EC"/>
    <w:rsid w:val="00466921"/>
    <w:rsid w:val="004F563C"/>
    <w:rsid w:val="005C404B"/>
    <w:rsid w:val="005F7714"/>
    <w:rsid w:val="006B7F93"/>
    <w:rsid w:val="00765ECD"/>
    <w:rsid w:val="00767C3E"/>
    <w:rsid w:val="00795CC5"/>
    <w:rsid w:val="008D705D"/>
    <w:rsid w:val="008F5709"/>
    <w:rsid w:val="00946E07"/>
    <w:rsid w:val="00A773C7"/>
    <w:rsid w:val="00A92BA6"/>
    <w:rsid w:val="00AE651D"/>
    <w:rsid w:val="00B00E47"/>
    <w:rsid w:val="00B3181B"/>
    <w:rsid w:val="00B44748"/>
    <w:rsid w:val="00B64D0A"/>
    <w:rsid w:val="00B758EB"/>
    <w:rsid w:val="00BA50B4"/>
    <w:rsid w:val="00BD3E37"/>
    <w:rsid w:val="00D1538D"/>
    <w:rsid w:val="00D52A50"/>
    <w:rsid w:val="00D54DC9"/>
    <w:rsid w:val="00D7585E"/>
    <w:rsid w:val="00E4176C"/>
    <w:rsid w:val="00E518B7"/>
    <w:rsid w:val="00EB6AD4"/>
    <w:rsid w:val="00F241ED"/>
    <w:rsid w:val="00F91CF5"/>
    <w:rsid w:val="00FC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CD91A-FA22-4D55-9F7E-C581FBE2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9EC"/>
    <w:pPr>
      <w:ind w:left="720"/>
      <w:contextualSpacing/>
    </w:pPr>
  </w:style>
  <w:style w:type="paragraph" w:styleId="NormalWeb">
    <w:name w:val="Normal (Web)"/>
    <w:basedOn w:val="Normal"/>
    <w:uiPriority w:val="99"/>
    <w:rsid w:val="0009574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Ward-de-Leon, Claudia</cp:lastModifiedBy>
  <cp:revision>2</cp:revision>
  <dcterms:created xsi:type="dcterms:W3CDTF">2017-11-22T21:08:00Z</dcterms:created>
  <dcterms:modified xsi:type="dcterms:W3CDTF">2017-11-22T21:08:00Z</dcterms:modified>
</cp:coreProperties>
</file>